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A7E19" w14:textId="4675AD29" w:rsidR="003F68D2" w:rsidRDefault="00172DAB" w:rsidP="003F68D2">
      <w:r w:rsidRPr="0059403E">
        <w:rPr>
          <w:rFonts w:ascii="Tahoma" w:hAnsi="Tahoma" w:cs="Tahoma"/>
          <w:noProof/>
        </w:rPr>
        <w:drawing>
          <wp:anchor distT="0" distB="0" distL="114300" distR="114300" simplePos="0" relativeHeight="251662336" behindDoc="0" locked="0" layoutInCell="1" allowOverlap="1" wp14:anchorId="155C1265" wp14:editId="0E4D4B65">
            <wp:simplePos x="0" y="0"/>
            <wp:positionH relativeFrom="column">
              <wp:posOffset>-560451</wp:posOffset>
            </wp:positionH>
            <wp:positionV relativeFrom="paragraph">
              <wp:posOffset>-938807</wp:posOffset>
            </wp:positionV>
            <wp:extent cx="7554592" cy="10690761"/>
            <wp:effectExtent l="0" t="0" r="2540" b="3175"/>
            <wp:wrapNone/>
            <wp:docPr id="1617445587" name="Picture 1"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45587" name="Picture 1" descr="A group of children in a class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4592" cy="10690761"/>
                    </a:xfrm>
                    <a:prstGeom prst="rect">
                      <a:avLst/>
                    </a:prstGeom>
                  </pic:spPr>
                </pic:pic>
              </a:graphicData>
            </a:graphic>
            <wp14:sizeRelH relativeFrom="page">
              <wp14:pctWidth>0</wp14:pctWidth>
            </wp14:sizeRelH>
            <wp14:sizeRelV relativeFrom="page">
              <wp14:pctHeight>0</wp14:pctHeight>
            </wp14:sizeRelV>
          </wp:anchor>
        </w:drawing>
      </w:r>
      <w:r w:rsidR="00D953A1" w:rsidRPr="0059403E">
        <w:rPr>
          <w:rFonts w:ascii="Tahoma" w:hAnsi="Tahoma" w:cs="Tahoma"/>
          <w:noProof/>
        </w:rPr>
        <mc:AlternateContent>
          <mc:Choice Requires="wps">
            <w:drawing>
              <wp:anchor distT="0" distB="0" distL="114300" distR="114300" simplePos="0" relativeHeight="251664384" behindDoc="0" locked="0" layoutInCell="1" allowOverlap="1" wp14:anchorId="7E6714F3" wp14:editId="5247A440">
                <wp:simplePos x="0" y="0"/>
                <wp:positionH relativeFrom="column">
                  <wp:posOffset>164084</wp:posOffset>
                </wp:positionH>
                <wp:positionV relativeFrom="paragraph">
                  <wp:posOffset>-27940</wp:posOffset>
                </wp:positionV>
                <wp:extent cx="6042991" cy="1683026"/>
                <wp:effectExtent l="0" t="0" r="0" b="0"/>
                <wp:wrapNone/>
                <wp:docPr id="524157285" name="Text Box 2"/>
                <wp:cNvGraphicFramePr/>
                <a:graphic xmlns:a="http://schemas.openxmlformats.org/drawingml/2006/main">
                  <a:graphicData uri="http://schemas.microsoft.com/office/word/2010/wordprocessingShape">
                    <wps:wsp>
                      <wps:cNvSpPr txBox="1"/>
                      <wps:spPr>
                        <a:xfrm>
                          <a:off x="0" y="0"/>
                          <a:ext cx="6042991" cy="1683026"/>
                        </a:xfrm>
                        <a:prstGeom prst="rect">
                          <a:avLst/>
                        </a:prstGeom>
                        <a:noFill/>
                        <a:ln w="6350">
                          <a:noFill/>
                        </a:ln>
                      </wps:spPr>
                      <wps:txbx>
                        <w:txbxContent>
                          <w:p w14:paraId="4591FDB2" w14:textId="3BDF14F8" w:rsidR="00D953A1" w:rsidRPr="002E4DE7" w:rsidRDefault="00D953A1" w:rsidP="00D953A1">
                            <w:pPr>
                              <w:jc w:val="center"/>
                              <w:rPr>
                                <w:rFonts w:cs="Arial"/>
                                <w:b/>
                                <w:bCs/>
                                <w:color w:val="FFFFFF" w:themeColor="background1"/>
                                <w:sz w:val="96"/>
                                <w:szCs w:val="96"/>
                              </w:rPr>
                            </w:pPr>
                            <w:r>
                              <w:rPr>
                                <w:rFonts w:cs="Arial"/>
                                <w:b/>
                                <w:bCs/>
                                <w:color w:val="FFFFFF" w:themeColor="background1"/>
                                <w:sz w:val="96"/>
                                <w:szCs w:val="96"/>
                              </w:rPr>
                              <w:t xml:space="preserve">Charging and Remission </w:t>
                            </w:r>
                            <w:r>
                              <w:rPr>
                                <w:rFonts w:cs="Arial"/>
                                <w:b/>
                                <w:bCs/>
                                <w:color w:val="FFFFFF" w:themeColor="background1"/>
                                <w:sz w:val="96"/>
                                <w:szCs w:val="96"/>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714F3" id="_x0000_t202" coordsize="21600,21600" o:spt="202" path="m,l,21600r21600,l21600,xe">
                <v:stroke joinstyle="miter"/>
                <v:path gradientshapeok="t" o:connecttype="rect"/>
              </v:shapetype>
              <v:shape id="Text Box 2" o:spid="_x0000_s1026" type="#_x0000_t202" style="position:absolute;margin-left:12.9pt;margin-top:-2.2pt;width:475.85pt;height: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" filled="f" stroked="f" strokeweight=".5pt">
                <v:textbox>
                  <w:txbxContent>
                    <w:p w14:paraId="4591FDB2" w14:textId="3BDF14F8" w:rsidR="00D953A1" w:rsidRPr="002E4DE7" w:rsidRDefault="00D953A1" w:rsidP="00D953A1">
                      <w:pPr>
                        <w:jc w:val="center"/>
                        <w:rPr>
                          <w:rFonts w:cs="Arial"/>
                          <w:b/>
                          <w:bCs/>
                          <w:color w:val="FFFFFF" w:themeColor="background1"/>
                          <w:sz w:val="96"/>
                          <w:szCs w:val="96"/>
                        </w:rPr>
                      </w:pPr>
                      <w:r>
                        <w:rPr>
                          <w:rFonts w:cs="Arial"/>
                          <w:b/>
                          <w:bCs/>
                          <w:color w:val="FFFFFF" w:themeColor="background1"/>
                          <w:sz w:val="96"/>
                          <w:szCs w:val="96"/>
                        </w:rPr>
                        <w:t xml:space="preserve">Charging and Remission </w:t>
                      </w:r>
                      <w:r>
                        <w:rPr>
                          <w:rFonts w:cs="Arial"/>
                          <w:b/>
                          <w:bCs/>
                          <w:color w:val="FFFFFF" w:themeColor="background1"/>
                          <w:sz w:val="96"/>
                          <w:szCs w:val="96"/>
                        </w:rPr>
                        <w:t>Policy</w:t>
                      </w:r>
                    </w:p>
                  </w:txbxContent>
                </v:textbox>
              </v:shape>
            </w:pict>
          </mc:Fallback>
        </mc:AlternateContent>
      </w:r>
    </w:p>
    <w:p w14:paraId="097B2541" w14:textId="5831652E" w:rsidR="003F68D2" w:rsidRPr="001118BF" w:rsidRDefault="003F68D2" w:rsidP="003F68D2">
      <w:pPr>
        <w:pStyle w:val="1bodycopy10pt"/>
      </w:pPr>
    </w:p>
    <w:p w14:paraId="5450F3FF" w14:textId="12F1A0FD" w:rsidR="003F68D2" w:rsidRDefault="003F68D2" w:rsidP="003F68D2">
      <w:pPr>
        <w:pStyle w:val="1bodycopy10pt"/>
        <w:rPr>
          <w:noProof/>
          <w:color w:val="00CF80"/>
          <w:szCs w:val="20"/>
        </w:rPr>
      </w:pPr>
    </w:p>
    <w:p w14:paraId="40AD5F1E" w14:textId="77777777" w:rsidR="003F68D2" w:rsidRDefault="003F68D2" w:rsidP="003F68D2">
      <w:pPr>
        <w:pStyle w:val="1bodycopy10pt"/>
        <w:rPr>
          <w:noProof/>
        </w:rPr>
      </w:pPr>
    </w:p>
    <w:p w14:paraId="5626E7CD" w14:textId="77777777" w:rsidR="003F68D2" w:rsidRDefault="003F68D2" w:rsidP="003F68D2">
      <w:pPr>
        <w:pStyle w:val="1bodycopy10pt"/>
        <w:rPr>
          <w:noProof/>
        </w:rPr>
      </w:pPr>
    </w:p>
    <w:p w14:paraId="2D977E83" w14:textId="77777777" w:rsidR="003F68D2" w:rsidRPr="0001772B" w:rsidRDefault="003F68D2" w:rsidP="003F68D2">
      <w:pPr>
        <w:pStyle w:val="1bodycopy10pt"/>
      </w:pPr>
    </w:p>
    <w:p w14:paraId="27DD35AB" w14:textId="77777777" w:rsidR="003F68D2" w:rsidRDefault="003F68D2" w:rsidP="003F68D2">
      <w:pPr>
        <w:pStyle w:val="1bodycopy10pt"/>
      </w:pPr>
    </w:p>
    <w:p w14:paraId="6C609EEF" w14:textId="77777777" w:rsidR="003F68D2" w:rsidRDefault="003F68D2" w:rsidP="003F68D2">
      <w:pPr>
        <w:pStyle w:val="1bodycopy10pt"/>
      </w:pPr>
    </w:p>
    <w:p w14:paraId="51BE3168" w14:textId="77777777" w:rsidR="003F68D2" w:rsidRDefault="003F68D2" w:rsidP="003F68D2">
      <w:pPr>
        <w:pStyle w:val="1bodycopy10pt"/>
      </w:pPr>
    </w:p>
    <w:p w14:paraId="087A42EB" w14:textId="77777777" w:rsidR="003F68D2" w:rsidRDefault="003F68D2" w:rsidP="003F68D2">
      <w:pPr>
        <w:pStyle w:val="1bodycopy10pt"/>
      </w:pPr>
    </w:p>
    <w:p w14:paraId="5565E692" w14:textId="77777777" w:rsidR="003F68D2" w:rsidRDefault="003F68D2" w:rsidP="003F68D2">
      <w:pPr>
        <w:pStyle w:val="1bodycopy10pt"/>
      </w:pPr>
    </w:p>
    <w:p w14:paraId="414B4788" w14:textId="77777777" w:rsidR="003F68D2" w:rsidRDefault="003F68D2" w:rsidP="003F68D2">
      <w:pPr>
        <w:pStyle w:val="1bodycopy10pt"/>
      </w:pPr>
    </w:p>
    <w:p w14:paraId="0003F3BE" w14:textId="77777777" w:rsidR="003F68D2" w:rsidRDefault="003F68D2" w:rsidP="003F68D2">
      <w:pPr>
        <w:pStyle w:val="1bodycopy10pt"/>
      </w:pPr>
    </w:p>
    <w:p w14:paraId="32AA7081" w14:textId="77777777" w:rsidR="003F68D2" w:rsidRDefault="003F68D2" w:rsidP="003F68D2">
      <w:pPr>
        <w:pStyle w:val="1bodycopy10pt"/>
      </w:pPr>
    </w:p>
    <w:p w14:paraId="4FAACC58" w14:textId="77777777" w:rsidR="003F68D2" w:rsidRDefault="003F68D2" w:rsidP="003F68D2">
      <w:pPr>
        <w:pStyle w:val="1bodycopy10pt"/>
      </w:pPr>
    </w:p>
    <w:p w14:paraId="666E3E92" w14:textId="77777777" w:rsidR="003F68D2" w:rsidRDefault="003F68D2" w:rsidP="003F68D2">
      <w:pPr>
        <w:pStyle w:val="1bodycopy10pt"/>
      </w:pPr>
    </w:p>
    <w:p w14:paraId="2E634D18" w14:textId="77777777" w:rsidR="003F68D2" w:rsidRDefault="003F68D2" w:rsidP="003F68D2">
      <w:pPr>
        <w:pStyle w:val="1bodycopy10pt"/>
      </w:pPr>
    </w:p>
    <w:p w14:paraId="32915455" w14:textId="77777777" w:rsidR="003F68D2" w:rsidRDefault="003F68D2" w:rsidP="003F68D2">
      <w:pPr>
        <w:pStyle w:val="1bodycopy10pt"/>
      </w:pPr>
    </w:p>
    <w:p w14:paraId="0C5D06B7" w14:textId="77777777" w:rsidR="003F68D2" w:rsidRDefault="003F68D2" w:rsidP="003F68D2">
      <w:pPr>
        <w:pStyle w:val="1bodycopy10pt"/>
      </w:pPr>
    </w:p>
    <w:p w14:paraId="67D7590B" w14:textId="77777777" w:rsidR="003F68D2" w:rsidRDefault="003F68D2" w:rsidP="003F68D2">
      <w:pPr>
        <w:pStyle w:val="1bodycopy10pt"/>
      </w:pPr>
    </w:p>
    <w:p w14:paraId="4B7FEE89" w14:textId="77777777" w:rsidR="003F68D2" w:rsidRDefault="003F68D2" w:rsidP="003F68D2">
      <w:pPr>
        <w:pStyle w:val="1bodycopy10pt"/>
      </w:pPr>
    </w:p>
    <w:p w14:paraId="05EEDB0F" w14:textId="77777777" w:rsidR="003F68D2" w:rsidRDefault="003F68D2" w:rsidP="003F68D2">
      <w:pPr>
        <w:pStyle w:val="1bodycopy10pt"/>
      </w:pPr>
    </w:p>
    <w:p w14:paraId="37568765" w14:textId="77777777" w:rsidR="003F68D2" w:rsidRDefault="003F68D2" w:rsidP="003F68D2">
      <w:pPr>
        <w:pStyle w:val="1bodycopy10pt"/>
      </w:pPr>
    </w:p>
    <w:p w14:paraId="0D950955" w14:textId="77777777" w:rsidR="003F68D2" w:rsidRDefault="003F68D2" w:rsidP="003F68D2">
      <w:pPr>
        <w:pStyle w:val="1bodycopy10pt"/>
      </w:pPr>
    </w:p>
    <w:p w14:paraId="330A82BC" w14:textId="77777777" w:rsidR="003F68D2" w:rsidRPr="00D953A1" w:rsidRDefault="003F68D2" w:rsidP="003F68D2">
      <w:pPr>
        <w:pStyle w:val="Heading1"/>
        <w:rPr>
          <w:rFonts w:ascii="Kinetic Letters" w:hAnsi="Kinetic Letters"/>
          <w:sz w:val="32"/>
          <w:szCs w:val="32"/>
        </w:rPr>
      </w:pPr>
      <w:r>
        <w:br w:type="page"/>
      </w:r>
      <w:r w:rsidRPr="00D953A1">
        <w:rPr>
          <w:rFonts w:ascii="Kinetic Letters" w:hAnsi="Kinetic Letters"/>
          <w:color w:val="0070C0"/>
          <w:sz w:val="32"/>
          <w:szCs w:val="32"/>
        </w:rPr>
        <w:lastRenderedPageBreak/>
        <w:t>Contents</w:t>
      </w:r>
    </w:p>
    <w:p w14:paraId="35462FA7"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r w:rsidRPr="00D953A1">
        <w:rPr>
          <w:rFonts w:ascii="Kinetic Letters" w:hAnsi="Kinetic Letters" w:cs="Arial"/>
          <w:bCs/>
          <w:noProof/>
          <w:sz w:val="32"/>
          <w:szCs w:val="32"/>
        </w:rPr>
        <w:fldChar w:fldCharType="begin"/>
      </w:r>
      <w:r w:rsidRPr="00D953A1">
        <w:rPr>
          <w:rFonts w:ascii="Kinetic Letters" w:hAnsi="Kinetic Letters" w:cs="Arial"/>
          <w:bCs/>
          <w:noProof/>
          <w:sz w:val="32"/>
          <w:szCs w:val="32"/>
        </w:rPr>
        <w:instrText xml:space="preserve"> TOC \o "1-3" \h \z \u </w:instrText>
      </w:r>
      <w:r w:rsidRPr="00D953A1">
        <w:rPr>
          <w:rFonts w:ascii="Kinetic Letters" w:hAnsi="Kinetic Letters" w:cs="Arial"/>
          <w:bCs/>
          <w:noProof/>
          <w:sz w:val="32"/>
          <w:szCs w:val="32"/>
        </w:rPr>
        <w:fldChar w:fldCharType="separate"/>
      </w:r>
      <w:hyperlink w:anchor="_Toc122338376" w:history="1">
        <w:r w:rsidRPr="00D953A1">
          <w:rPr>
            <w:rStyle w:val="Hyperlink"/>
            <w:rFonts w:ascii="Kinetic Letters" w:eastAsia="Arial" w:hAnsi="Kinetic Letters" w:cs="Arial"/>
            <w:b/>
            <w:noProof/>
            <w:sz w:val="32"/>
            <w:szCs w:val="32"/>
            <w:lang w:val="en-GB" w:eastAsia="en-GB"/>
          </w:rPr>
          <w:t>1. Aims</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_Toc122338376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3</w:t>
        </w:r>
        <w:r w:rsidRPr="00D953A1">
          <w:rPr>
            <w:rFonts w:ascii="Kinetic Letters" w:hAnsi="Kinetic Letters"/>
            <w:noProof/>
            <w:webHidden/>
            <w:sz w:val="32"/>
            <w:szCs w:val="32"/>
          </w:rPr>
          <w:fldChar w:fldCharType="end"/>
        </w:r>
      </w:hyperlink>
    </w:p>
    <w:p w14:paraId="609EECD6"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77" w:history="1">
        <w:r w:rsidRPr="00D953A1">
          <w:rPr>
            <w:rStyle w:val="Hyperlink"/>
            <w:rFonts w:ascii="Kinetic Letters" w:eastAsia="Arial" w:hAnsi="Kinetic Letters" w:cs="Arial"/>
            <w:b/>
            <w:noProof/>
            <w:sz w:val="32"/>
            <w:szCs w:val="32"/>
            <w:lang w:val="en-GB" w:eastAsia="en-GB"/>
          </w:rPr>
          <w:t>2. Legislation and guidance</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_Toc122338377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3</w:t>
        </w:r>
        <w:r w:rsidRPr="00D953A1">
          <w:rPr>
            <w:rFonts w:ascii="Kinetic Letters" w:hAnsi="Kinetic Letters"/>
            <w:noProof/>
            <w:webHidden/>
            <w:sz w:val="32"/>
            <w:szCs w:val="32"/>
          </w:rPr>
          <w:fldChar w:fldCharType="end"/>
        </w:r>
      </w:hyperlink>
    </w:p>
    <w:p w14:paraId="4BF0BF68"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78" w:history="1">
        <w:r w:rsidRPr="00D953A1">
          <w:rPr>
            <w:rStyle w:val="Hyperlink"/>
            <w:rFonts w:ascii="Kinetic Letters" w:eastAsia="Arial" w:hAnsi="Kinetic Letters" w:cs="Arial"/>
            <w:b/>
            <w:noProof/>
            <w:sz w:val="32"/>
            <w:szCs w:val="32"/>
            <w:lang w:val="en-GB" w:eastAsia="en-GB"/>
          </w:rPr>
          <w:t>3. Definitions</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_Toc122338378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3</w:t>
        </w:r>
        <w:r w:rsidRPr="00D953A1">
          <w:rPr>
            <w:rFonts w:ascii="Kinetic Letters" w:hAnsi="Kinetic Letters"/>
            <w:noProof/>
            <w:webHidden/>
            <w:sz w:val="32"/>
            <w:szCs w:val="32"/>
          </w:rPr>
          <w:fldChar w:fldCharType="end"/>
        </w:r>
      </w:hyperlink>
    </w:p>
    <w:p w14:paraId="6DEBE7AC"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79" w:history="1">
        <w:r w:rsidRPr="00D953A1">
          <w:rPr>
            <w:rStyle w:val="Hyperlink"/>
            <w:rFonts w:ascii="Kinetic Letters" w:eastAsia="Arial" w:hAnsi="Kinetic Letters" w:cs="Arial"/>
            <w:b/>
            <w:noProof/>
            <w:sz w:val="32"/>
            <w:szCs w:val="32"/>
            <w:lang w:val="en-GB" w:eastAsia="en-GB"/>
          </w:rPr>
          <w:t>4. Roles and responsibilities</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_Toc122338379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3</w:t>
        </w:r>
        <w:r w:rsidRPr="00D953A1">
          <w:rPr>
            <w:rFonts w:ascii="Kinetic Letters" w:hAnsi="Kinetic Letters"/>
            <w:noProof/>
            <w:webHidden/>
            <w:sz w:val="32"/>
            <w:szCs w:val="32"/>
          </w:rPr>
          <w:fldChar w:fldCharType="end"/>
        </w:r>
      </w:hyperlink>
    </w:p>
    <w:p w14:paraId="0E23AB19"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80" w:history="1">
        <w:r w:rsidRPr="00D953A1">
          <w:rPr>
            <w:rStyle w:val="Hyperlink"/>
            <w:rFonts w:ascii="Kinetic Letters" w:eastAsia="Arial" w:hAnsi="Kinetic Letters" w:cs="Arial"/>
            <w:b/>
            <w:noProof/>
            <w:sz w:val="32"/>
            <w:szCs w:val="32"/>
            <w:lang w:val="en-GB" w:eastAsia="en-GB"/>
          </w:rPr>
          <w:t>5. Where charges cannot be made</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_Toc122338380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4</w:t>
        </w:r>
        <w:r w:rsidRPr="00D953A1">
          <w:rPr>
            <w:rFonts w:ascii="Kinetic Letters" w:hAnsi="Kinetic Letters"/>
            <w:noProof/>
            <w:webHidden/>
            <w:sz w:val="32"/>
            <w:szCs w:val="32"/>
          </w:rPr>
          <w:fldChar w:fldCharType="end"/>
        </w:r>
      </w:hyperlink>
    </w:p>
    <w:p w14:paraId="09678A12"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81" w:history="1">
        <w:r w:rsidRPr="00D953A1">
          <w:rPr>
            <w:rStyle w:val="Hyperlink"/>
            <w:rFonts w:ascii="Kinetic Letters" w:eastAsia="Arial" w:hAnsi="Kinetic Letters" w:cs="Arial"/>
            <w:b/>
            <w:noProof/>
            <w:sz w:val="32"/>
            <w:szCs w:val="32"/>
            <w:lang w:val="en-GB" w:eastAsia="en-GB"/>
          </w:rPr>
          <w:t>6. Where charges can be made</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_Toc122338381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5</w:t>
        </w:r>
        <w:r w:rsidRPr="00D953A1">
          <w:rPr>
            <w:rFonts w:ascii="Kinetic Letters" w:hAnsi="Kinetic Letters"/>
            <w:noProof/>
            <w:webHidden/>
            <w:sz w:val="32"/>
            <w:szCs w:val="32"/>
          </w:rPr>
          <w:fldChar w:fldCharType="end"/>
        </w:r>
      </w:hyperlink>
    </w:p>
    <w:p w14:paraId="6428798D"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82" w:history="1">
        <w:r w:rsidRPr="00D953A1">
          <w:rPr>
            <w:rStyle w:val="Hyperlink"/>
            <w:rFonts w:ascii="Kinetic Letters" w:eastAsia="Arial" w:hAnsi="Kinetic Letters" w:cs="Arial"/>
            <w:b/>
            <w:noProof/>
            <w:sz w:val="32"/>
            <w:szCs w:val="32"/>
            <w:lang w:val="en-GB" w:eastAsia="en-GB"/>
          </w:rPr>
          <w:t>7. Voluntary contributions</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_Toc122338382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6</w:t>
        </w:r>
        <w:r w:rsidRPr="00D953A1">
          <w:rPr>
            <w:rFonts w:ascii="Kinetic Letters" w:hAnsi="Kinetic Letters"/>
            <w:noProof/>
            <w:webHidden/>
            <w:sz w:val="32"/>
            <w:szCs w:val="32"/>
          </w:rPr>
          <w:fldChar w:fldCharType="end"/>
        </w:r>
      </w:hyperlink>
    </w:p>
    <w:p w14:paraId="7FCC0C15"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83" w:history="1">
        <w:r w:rsidRPr="00D953A1">
          <w:rPr>
            <w:rStyle w:val="Hyperlink"/>
            <w:rFonts w:ascii="Kinetic Letters" w:eastAsia="Arial" w:hAnsi="Kinetic Letters" w:cs="Arial"/>
            <w:b/>
            <w:noProof/>
            <w:sz w:val="32"/>
            <w:szCs w:val="32"/>
            <w:lang w:val="en-GB" w:eastAsia="en-GB"/>
          </w:rPr>
          <w:t>8. Activities we charge for</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_Toc122338383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6</w:t>
        </w:r>
        <w:r w:rsidRPr="00D953A1">
          <w:rPr>
            <w:rFonts w:ascii="Kinetic Letters" w:hAnsi="Kinetic Letters"/>
            <w:noProof/>
            <w:webHidden/>
            <w:sz w:val="32"/>
            <w:szCs w:val="32"/>
          </w:rPr>
          <w:fldChar w:fldCharType="end"/>
        </w:r>
      </w:hyperlink>
    </w:p>
    <w:p w14:paraId="51F8771E"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84" w:history="1">
        <w:r w:rsidRPr="00D953A1">
          <w:rPr>
            <w:rStyle w:val="Hyperlink"/>
            <w:rFonts w:ascii="Kinetic Letters" w:eastAsia="Arial" w:hAnsi="Kinetic Letters" w:cs="Arial"/>
            <w:b/>
            <w:noProof/>
            <w:sz w:val="32"/>
            <w:szCs w:val="32"/>
            <w:lang w:val="en-GB" w:eastAsia="en-GB"/>
          </w:rPr>
          <w:t>9. Remissions</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_Toc122338384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7</w:t>
        </w:r>
        <w:r w:rsidRPr="00D953A1">
          <w:rPr>
            <w:rFonts w:ascii="Kinetic Letters" w:hAnsi="Kinetic Letters"/>
            <w:noProof/>
            <w:webHidden/>
            <w:sz w:val="32"/>
            <w:szCs w:val="32"/>
          </w:rPr>
          <w:fldChar w:fldCharType="end"/>
        </w:r>
      </w:hyperlink>
    </w:p>
    <w:p w14:paraId="43FE8C8B" w14:textId="77777777" w:rsidR="003F68D2" w:rsidRPr="00D953A1" w:rsidRDefault="003F68D2" w:rsidP="003F68D2">
      <w:pPr>
        <w:pStyle w:val="TOC1"/>
        <w:tabs>
          <w:tab w:val="right" w:leader="dot" w:pos="9736"/>
        </w:tabs>
        <w:rPr>
          <w:rFonts w:ascii="Kinetic Letters" w:eastAsia="Times New Roman" w:hAnsi="Kinetic Letters"/>
          <w:noProof/>
          <w:sz w:val="32"/>
          <w:szCs w:val="32"/>
          <w:lang w:val="en-GB" w:eastAsia="en-GB"/>
        </w:rPr>
      </w:pPr>
      <w:hyperlink w:anchor="_Toc122338385" w:history="1">
        <w:r w:rsidRPr="00D953A1">
          <w:rPr>
            <w:rStyle w:val="Hyperlink"/>
            <w:rFonts w:ascii="Kinetic Letters" w:eastAsia="Arial" w:hAnsi="Kinetic Letters" w:cs="Arial"/>
            <w:b/>
            <w:noProof/>
            <w:sz w:val="32"/>
            <w:szCs w:val="32"/>
            <w:lang w:val="en-GB" w:eastAsia="en-GB"/>
          </w:rPr>
          <w:t>10. Monitoring arrangements</w:t>
        </w:r>
        <w:r w:rsidRPr="00D953A1">
          <w:rPr>
            <w:rFonts w:ascii="Kinetic Letters" w:hAnsi="Kinetic Letters"/>
            <w:noProof/>
            <w:webHidden/>
            <w:sz w:val="32"/>
            <w:szCs w:val="32"/>
          </w:rPr>
          <w:tab/>
        </w:r>
        <w:r w:rsidRPr="00D953A1">
          <w:rPr>
            <w:rFonts w:ascii="Kinetic Letters" w:hAnsi="Kinetic Letters"/>
            <w:noProof/>
            <w:webHidden/>
            <w:sz w:val="32"/>
            <w:szCs w:val="32"/>
          </w:rPr>
          <w:fldChar w:fldCharType="begin"/>
        </w:r>
        <w:r w:rsidRPr="00D953A1">
          <w:rPr>
            <w:rFonts w:ascii="Kinetic Letters" w:hAnsi="Kinetic Letters"/>
            <w:noProof/>
            <w:webHidden/>
            <w:sz w:val="32"/>
            <w:szCs w:val="32"/>
          </w:rPr>
          <w:instrText xml:space="preserve"> PAGEREF _Toc122338385 \h </w:instrText>
        </w:r>
        <w:r w:rsidRPr="00D953A1">
          <w:rPr>
            <w:rFonts w:ascii="Kinetic Letters" w:hAnsi="Kinetic Letters"/>
            <w:noProof/>
            <w:webHidden/>
            <w:sz w:val="32"/>
            <w:szCs w:val="32"/>
          </w:rPr>
        </w:r>
        <w:r w:rsidRPr="00D953A1">
          <w:rPr>
            <w:rFonts w:ascii="Kinetic Letters" w:hAnsi="Kinetic Letters"/>
            <w:noProof/>
            <w:webHidden/>
            <w:sz w:val="32"/>
            <w:szCs w:val="32"/>
          </w:rPr>
          <w:fldChar w:fldCharType="separate"/>
        </w:r>
        <w:r w:rsidRPr="00D953A1">
          <w:rPr>
            <w:rFonts w:ascii="Kinetic Letters" w:hAnsi="Kinetic Letters"/>
            <w:noProof/>
            <w:webHidden/>
            <w:sz w:val="32"/>
            <w:szCs w:val="32"/>
          </w:rPr>
          <w:t>7</w:t>
        </w:r>
        <w:r w:rsidRPr="00D953A1">
          <w:rPr>
            <w:rFonts w:ascii="Kinetic Letters" w:hAnsi="Kinetic Letters"/>
            <w:noProof/>
            <w:webHidden/>
            <w:sz w:val="32"/>
            <w:szCs w:val="32"/>
          </w:rPr>
          <w:fldChar w:fldCharType="end"/>
        </w:r>
      </w:hyperlink>
    </w:p>
    <w:p w14:paraId="176297C0" w14:textId="77777777" w:rsidR="003F68D2" w:rsidRPr="00D953A1" w:rsidRDefault="003F68D2" w:rsidP="003F68D2">
      <w:pPr>
        <w:pStyle w:val="1bodycopy10pt"/>
        <w:rPr>
          <w:rFonts w:ascii="Kinetic Letters" w:hAnsi="Kinetic Letters"/>
          <w:noProof/>
          <w:sz w:val="32"/>
          <w:szCs w:val="32"/>
        </w:rPr>
      </w:pPr>
      <w:r w:rsidRPr="00D953A1">
        <w:rPr>
          <w:rFonts w:ascii="Kinetic Letters" w:hAnsi="Kinetic Letters" w:cs="Arial"/>
          <w:noProof/>
          <w:sz w:val="32"/>
          <w:szCs w:val="32"/>
        </w:rPr>
        <w:fldChar w:fldCharType="end"/>
      </w:r>
    </w:p>
    <w:p w14:paraId="3C645FC4" w14:textId="1806DA48" w:rsidR="003F68D2" w:rsidRPr="00D953A1" w:rsidRDefault="003F68D2" w:rsidP="003F68D2">
      <w:pPr>
        <w:pStyle w:val="1bodycopy10pt"/>
        <w:rPr>
          <w:rFonts w:ascii="Kinetic Letters" w:hAnsi="Kinetic Letters" w:cs="Arial"/>
          <w:noProof/>
          <w:sz w:val="32"/>
          <w:szCs w:val="32"/>
        </w:rPr>
      </w:pPr>
      <w:r w:rsidRPr="00D953A1">
        <w:rPr>
          <w:rFonts w:ascii="Kinetic Letters" w:hAnsi="Kinetic Letters"/>
          <w:noProof/>
          <w:sz w:val="32"/>
          <w:szCs w:val="32"/>
        </w:rPr>
        <mc:AlternateContent>
          <mc:Choice Requires="wps">
            <w:drawing>
              <wp:anchor distT="4294967286" distB="4294967286" distL="114300" distR="114300" simplePos="0" relativeHeight="251660288" behindDoc="0" locked="0" layoutInCell="1" allowOverlap="1" wp14:anchorId="7FBB35D1" wp14:editId="633C3695">
                <wp:simplePos x="0" y="0"/>
                <wp:positionH relativeFrom="column">
                  <wp:posOffset>0</wp:posOffset>
                </wp:positionH>
                <wp:positionV relativeFrom="paragraph">
                  <wp:posOffset>-1</wp:posOffset>
                </wp:positionV>
                <wp:extent cx="6158865" cy="0"/>
                <wp:effectExtent l="0" t="0" r="0" b="0"/>
                <wp:wrapNone/>
                <wp:docPr id="131446956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96E7E2" id="Straight Connector 3" o:spid="_x0000_s1026" style="position:absolute;flip:y;z-index:25166028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71BAB2D3" w14:textId="77777777" w:rsidR="003F68D2" w:rsidRPr="00D953A1" w:rsidRDefault="003F68D2" w:rsidP="003F68D2">
      <w:pPr>
        <w:spacing w:before="120"/>
        <w:outlineLvl w:val="0"/>
        <w:rPr>
          <w:rFonts w:ascii="Kinetic Letters" w:eastAsia="Calibri" w:hAnsi="Kinetic Letters" w:cs="Arial"/>
          <w:b/>
          <w:color w:val="0070C0"/>
          <w:sz w:val="36"/>
          <w:szCs w:val="36"/>
          <w:lang w:val="en-GB" w:eastAsia="en-GB"/>
        </w:rPr>
      </w:pPr>
      <w:bookmarkStart w:id="0" w:name="_Toc22549370"/>
      <w:bookmarkStart w:id="1" w:name="_Toc122338376"/>
      <w:r w:rsidRPr="00D953A1">
        <w:rPr>
          <w:rFonts w:ascii="Kinetic Letters" w:eastAsia="Arial" w:hAnsi="Kinetic Letters" w:cs="Arial"/>
          <w:b/>
          <w:color w:val="0070C0"/>
          <w:sz w:val="36"/>
          <w:szCs w:val="36"/>
          <w:lang w:val="en-GB" w:eastAsia="en-GB"/>
        </w:rPr>
        <w:t>1. Aims</w:t>
      </w:r>
      <w:bookmarkEnd w:id="0"/>
      <w:bookmarkEnd w:id="1"/>
    </w:p>
    <w:p w14:paraId="226B3394"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Our school aims to: </w:t>
      </w:r>
    </w:p>
    <w:p w14:paraId="05A6700A"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Have robust, clear processes in place for charging and remissions </w:t>
      </w:r>
    </w:p>
    <w:p w14:paraId="5D24D6BE"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Clearly set out the types of activity that can be charged for and when charges will and will not be made</w:t>
      </w:r>
    </w:p>
    <w:p w14:paraId="694F302E"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Offer a range of activities and visits whilst minimising the financial barriers that may prevent some pupils from taking full advantage of these opportunities</w:t>
      </w:r>
    </w:p>
    <w:p w14:paraId="1DF849E7" w14:textId="77777777" w:rsidR="003F68D2" w:rsidRPr="00D953A1" w:rsidRDefault="003F68D2" w:rsidP="003F68D2">
      <w:pPr>
        <w:rPr>
          <w:rFonts w:ascii="Kinetic Letters" w:hAnsi="Kinetic Letters" w:cs="Arial"/>
          <w:sz w:val="32"/>
          <w:szCs w:val="32"/>
          <w:lang w:val="en-GB" w:eastAsia="en-GB"/>
        </w:rPr>
      </w:pPr>
    </w:p>
    <w:p w14:paraId="5937D9B0" w14:textId="77777777" w:rsidR="003F68D2" w:rsidRPr="00D953A1" w:rsidRDefault="003F68D2" w:rsidP="003F68D2">
      <w:pPr>
        <w:spacing w:before="120"/>
        <w:outlineLvl w:val="0"/>
        <w:rPr>
          <w:rFonts w:ascii="Kinetic Letters" w:eastAsia="Calibri" w:hAnsi="Kinetic Letters" w:cs="Arial"/>
          <w:b/>
          <w:color w:val="0070C0"/>
          <w:sz w:val="36"/>
          <w:szCs w:val="36"/>
          <w:lang w:val="en-GB" w:eastAsia="en-GB"/>
        </w:rPr>
      </w:pPr>
      <w:bookmarkStart w:id="2" w:name="_Toc9000346"/>
      <w:bookmarkStart w:id="3" w:name="_Toc12972321"/>
      <w:bookmarkStart w:id="4" w:name="_Toc22549371"/>
      <w:bookmarkStart w:id="5" w:name="_Toc122338377"/>
      <w:r w:rsidRPr="00D953A1">
        <w:rPr>
          <w:rFonts w:ascii="Kinetic Letters" w:eastAsia="Arial" w:hAnsi="Kinetic Letters" w:cs="Arial"/>
          <w:b/>
          <w:color w:val="0070C0"/>
          <w:sz w:val="36"/>
          <w:szCs w:val="36"/>
          <w:lang w:val="en-GB" w:eastAsia="en-GB"/>
        </w:rPr>
        <w:t>2. Legislation and guidance</w:t>
      </w:r>
      <w:bookmarkEnd w:id="2"/>
      <w:bookmarkEnd w:id="3"/>
      <w:bookmarkEnd w:id="4"/>
      <w:bookmarkEnd w:id="5"/>
    </w:p>
    <w:p w14:paraId="7E69A65C"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This policy is based on advice from the Department for Education (DfE) on </w:t>
      </w:r>
      <w:hyperlink r:id="rId9" w:history="1">
        <w:r w:rsidRPr="00D953A1">
          <w:rPr>
            <w:rFonts w:ascii="Kinetic Letters" w:hAnsi="Kinetic Letters"/>
            <w:color w:val="0072CC"/>
            <w:sz w:val="32"/>
            <w:szCs w:val="32"/>
            <w:u w:val="single" w:color="0072CC"/>
            <w:lang w:val="en-GB" w:eastAsia="en-GB"/>
          </w:rPr>
          <w:t>charging for school activities</w:t>
        </w:r>
      </w:hyperlink>
      <w:r w:rsidRPr="00D953A1">
        <w:rPr>
          <w:rFonts w:ascii="Kinetic Letters" w:hAnsi="Kinetic Letters"/>
          <w:sz w:val="32"/>
          <w:szCs w:val="32"/>
          <w:lang w:val="en-GB" w:eastAsia="en-GB"/>
        </w:rPr>
        <w:t xml:space="preserve"> and </w:t>
      </w:r>
      <w:hyperlink r:id="rId10" w:history="1">
        <w:r w:rsidRPr="00D953A1">
          <w:rPr>
            <w:rFonts w:ascii="Kinetic Letters" w:hAnsi="Kinetic Letters"/>
            <w:color w:val="0072CC"/>
            <w:sz w:val="32"/>
            <w:szCs w:val="32"/>
            <w:u w:val="single" w:color="0072CC"/>
            <w:lang w:val="en-GB" w:eastAsia="en-GB"/>
          </w:rPr>
          <w:t>the Education Act 1996</w:t>
        </w:r>
      </w:hyperlink>
      <w:r w:rsidRPr="00D953A1">
        <w:rPr>
          <w:rFonts w:ascii="Kinetic Letters" w:hAnsi="Kinetic Letters"/>
          <w:sz w:val="32"/>
          <w:szCs w:val="32"/>
          <w:lang w:val="en-GB" w:eastAsia="en-GB"/>
        </w:rPr>
        <w:t xml:space="preserve">, sections 449 to 462 of which set out the law on charging for school activities in England. </w:t>
      </w:r>
    </w:p>
    <w:p w14:paraId="46830EE8" w14:textId="77777777" w:rsidR="003F68D2" w:rsidRPr="00D953A1" w:rsidRDefault="003F68D2" w:rsidP="003F68D2">
      <w:pPr>
        <w:rPr>
          <w:rFonts w:ascii="Kinetic Letters" w:hAnsi="Kinetic Letters"/>
          <w:sz w:val="32"/>
          <w:szCs w:val="32"/>
          <w:lang w:val="en-GB" w:eastAsia="en-GB"/>
        </w:rPr>
      </w:pPr>
    </w:p>
    <w:p w14:paraId="2CDFA74F" w14:textId="77777777" w:rsidR="003F68D2" w:rsidRPr="00D953A1" w:rsidRDefault="003F68D2" w:rsidP="003F68D2">
      <w:pPr>
        <w:spacing w:before="120"/>
        <w:outlineLvl w:val="0"/>
        <w:rPr>
          <w:rFonts w:ascii="Kinetic Letters" w:eastAsia="Calibri" w:hAnsi="Kinetic Letters" w:cs="Arial"/>
          <w:b/>
          <w:color w:val="0070C0"/>
          <w:sz w:val="32"/>
          <w:szCs w:val="32"/>
          <w:lang w:val="en-GB" w:eastAsia="en-GB"/>
        </w:rPr>
      </w:pPr>
      <w:bookmarkStart w:id="6" w:name="_Toc9000347"/>
      <w:bookmarkStart w:id="7" w:name="_Toc12972322"/>
      <w:bookmarkStart w:id="8" w:name="_Toc22549372"/>
      <w:bookmarkStart w:id="9" w:name="_Toc122338378"/>
      <w:r w:rsidRPr="00D953A1">
        <w:rPr>
          <w:rFonts w:ascii="Kinetic Letters" w:eastAsia="Arial" w:hAnsi="Kinetic Letters" w:cs="Arial"/>
          <w:b/>
          <w:color w:val="0070C0"/>
          <w:sz w:val="32"/>
          <w:szCs w:val="32"/>
          <w:lang w:val="en-GB" w:eastAsia="en-GB"/>
        </w:rPr>
        <w:t>3. Definitions</w:t>
      </w:r>
      <w:bookmarkEnd w:id="6"/>
      <w:bookmarkEnd w:id="7"/>
      <w:bookmarkEnd w:id="8"/>
      <w:bookmarkEnd w:id="9"/>
      <w:r w:rsidRPr="00D953A1">
        <w:rPr>
          <w:rFonts w:ascii="Kinetic Letters" w:eastAsia="Arial" w:hAnsi="Kinetic Letters" w:cs="Arial"/>
          <w:b/>
          <w:color w:val="0070C0"/>
          <w:sz w:val="32"/>
          <w:szCs w:val="32"/>
          <w:lang w:val="en-GB" w:eastAsia="en-GB"/>
        </w:rPr>
        <w:t xml:space="preserve"> </w:t>
      </w:r>
    </w:p>
    <w:p w14:paraId="1B22510D"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b/>
          <w:bCs/>
          <w:sz w:val="32"/>
          <w:szCs w:val="32"/>
          <w:lang w:val="en-GB" w:eastAsia="en-GB"/>
        </w:rPr>
        <w:t>Charge</w:t>
      </w:r>
      <w:r w:rsidRPr="00D953A1">
        <w:rPr>
          <w:rFonts w:ascii="Kinetic Letters" w:hAnsi="Kinetic Letters"/>
          <w:sz w:val="32"/>
          <w:szCs w:val="32"/>
          <w:lang w:val="en-GB" w:eastAsia="en-GB"/>
        </w:rPr>
        <w:t>: a fee payable for specifically defined activities</w:t>
      </w:r>
    </w:p>
    <w:p w14:paraId="0E8C20EA"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b/>
          <w:bCs/>
          <w:sz w:val="32"/>
          <w:szCs w:val="32"/>
          <w:lang w:val="en-GB" w:eastAsia="en-GB"/>
        </w:rPr>
        <w:lastRenderedPageBreak/>
        <w:t>Remission</w:t>
      </w:r>
      <w:r w:rsidRPr="00D953A1">
        <w:rPr>
          <w:rFonts w:ascii="Kinetic Letters" w:hAnsi="Kinetic Letters"/>
          <w:sz w:val="32"/>
          <w:szCs w:val="32"/>
          <w:lang w:val="en-GB" w:eastAsia="en-GB"/>
        </w:rPr>
        <w:t>: the cancellation of a charge which would normally be payable</w:t>
      </w:r>
    </w:p>
    <w:p w14:paraId="30D76589" w14:textId="77777777" w:rsidR="003F68D2" w:rsidRPr="00D953A1" w:rsidRDefault="003F68D2" w:rsidP="003F68D2">
      <w:pPr>
        <w:ind w:left="340" w:hanging="170"/>
        <w:rPr>
          <w:rFonts w:ascii="Kinetic Letters" w:hAnsi="Kinetic Letters" w:cs="Arial"/>
          <w:sz w:val="32"/>
          <w:szCs w:val="32"/>
          <w:lang w:val="en-GB" w:eastAsia="en-GB"/>
        </w:rPr>
      </w:pPr>
    </w:p>
    <w:p w14:paraId="525EF8E8" w14:textId="77777777" w:rsidR="003F68D2" w:rsidRPr="00D953A1" w:rsidRDefault="003F68D2" w:rsidP="003F68D2">
      <w:pPr>
        <w:spacing w:before="120"/>
        <w:outlineLvl w:val="0"/>
        <w:rPr>
          <w:rFonts w:ascii="Kinetic Letters" w:eastAsia="Arial" w:hAnsi="Kinetic Letters" w:cs="Arial"/>
          <w:b/>
          <w:color w:val="0070C0"/>
          <w:sz w:val="36"/>
          <w:szCs w:val="36"/>
          <w:lang w:val="en-GB" w:eastAsia="en-GB"/>
        </w:rPr>
      </w:pPr>
      <w:bookmarkStart w:id="10" w:name="_Toc9000348"/>
      <w:bookmarkStart w:id="11" w:name="_Toc12972323"/>
      <w:bookmarkStart w:id="12" w:name="_Toc22549373"/>
      <w:bookmarkStart w:id="13" w:name="_Toc122338379"/>
      <w:r w:rsidRPr="00D953A1">
        <w:rPr>
          <w:rFonts w:ascii="Kinetic Letters" w:eastAsia="Arial" w:hAnsi="Kinetic Letters" w:cs="Arial"/>
          <w:b/>
          <w:color w:val="0070C0"/>
          <w:sz w:val="36"/>
          <w:szCs w:val="36"/>
          <w:lang w:val="en-GB" w:eastAsia="en-GB"/>
        </w:rPr>
        <w:t>4. Roles and responsibilities</w:t>
      </w:r>
      <w:bookmarkEnd w:id="10"/>
      <w:bookmarkEnd w:id="11"/>
      <w:bookmarkEnd w:id="12"/>
      <w:bookmarkEnd w:id="13"/>
    </w:p>
    <w:p w14:paraId="614374DC"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4.1 The governing board</w:t>
      </w:r>
    </w:p>
    <w:p w14:paraId="73E70318"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The governing board has overall responsibility for approving the charging and remissions policy, but can delegate this to a committee, an individual governor or the headteacher.</w:t>
      </w:r>
    </w:p>
    <w:p w14:paraId="006EB47F"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The governing board also has overall responsibility for monitoring the implementation of this policy.</w:t>
      </w:r>
    </w:p>
    <w:p w14:paraId="379FB210" w14:textId="77777777" w:rsid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Responsibility for approving the charging and remissions policy has been delegated to the </w:t>
      </w:r>
      <w:r w:rsidRPr="00D953A1">
        <w:rPr>
          <w:rFonts w:ascii="Kinetic Letters" w:hAnsi="Kinetic Letters"/>
          <w:sz w:val="32"/>
          <w:szCs w:val="32"/>
          <w:shd w:val="clear" w:color="auto" w:fill="FFFF00"/>
          <w:lang w:val="en-GB" w:eastAsia="en-GB"/>
        </w:rPr>
        <w:t>headteacher</w:t>
      </w:r>
    </w:p>
    <w:p w14:paraId="2D067007" w14:textId="2C8AB655"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Monitoring the implementation of this policy has been delegated to the </w:t>
      </w:r>
      <w:r w:rsidR="00D953A1" w:rsidRPr="00D953A1">
        <w:rPr>
          <w:rFonts w:ascii="Kinetic Letters" w:hAnsi="Kinetic Letters"/>
          <w:sz w:val="32"/>
          <w:szCs w:val="32"/>
          <w:shd w:val="clear" w:color="auto" w:fill="FFFF00"/>
          <w:lang w:val="en-GB" w:eastAsia="en-GB"/>
        </w:rPr>
        <w:t>governors</w:t>
      </w:r>
    </w:p>
    <w:p w14:paraId="6B0491FF"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4.2 Headteachers</w:t>
      </w:r>
    </w:p>
    <w:p w14:paraId="2961D6D7"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The headteacher is responsible for ensuring staff are familiar with the charging and remissions policy, and that it is being applied consistently.</w:t>
      </w:r>
    </w:p>
    <w:p w14:paraId="297BC741"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4.3 Staff</w:t>
      </w:r>
    </w:p>
    <w:p w14:paraId="0C97D797"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Staff are responsible for: </w:t>
      </w:r>
    </w:p>
    <w:p w14:paraId="38368091"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Implementing the charging and remissions policy consistently </w:t>
      </w:r>
    </w:p>
    <w:p w14:paraId="1DEF03CF"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Notifying the headteacher of any specific circumstances that they are unsure about or where they are not certain if the policy applies</w:t>
      </w:r>
    </w:p>
    <w:p w14:paraId="7571DA76"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The school will provide staff with appropriate training in relation to this policy and its implementation.</w:t>
      </w:r>
    </w:p>
    <w:p w14:paraId="2BD6DEE6"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4.4</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Parents/carers </w:t>
      </w:r>
    </w:p>
    <w:p w14:paraId="6D31E51C"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Parents/carers are expected to notify staff or the headteacher of any concerns or queries regarding the charging and remissions policy.</w:t>
      </w:r>
    </w:p>
    <w:p w14:paraId="2E2F4EEC" w14:textId="77777777" w:rsidR="003F68D2" w:rsidRPr="00D953A1" w:rsidRDefault="003F68D2" w:rsidP="003F68D2">
      <w:pPr>
        <w:rPr>
          <w:rFonts w:ascii="Kinetic Letters" w:hAnsi="Kinetic Letters"/>
          <w:sz w:val="32"/>
          <w:szCs w:val="32"/>
          <w:lang w:val="en-GB" w:eastAsia="en-GB"/>
        </w:rPr>
      </w:pPr>
    </w:p>
    <w:p w14:paraId="67F36F00" w14:textId="77777777" w:rsidR="003F68D2" w:rsidRPr="00D953A1" w:rsidRDefault="003F68D2" w:rsidP="003F68D2">
      <w:pPr>
        <w:spacing w:before="120"/>
        <w:outlineLvl w:val="0"/>
        <w:rPr>
          <w:rFonts w:ascii="Kinetic Letters" w:eastAsia="Calibri" w:hAnsi="Kinetic Letters" w:cs="Arial"/>
          <w:b/>
          <w:color w:val="FF1F64"/>
          <w:sz w:val="36"/>
          <w:szCs w:val="36"/>
          <w:lang w:val="en-GB" w:eastAsia="en-GB"/>
        </w:rPr>
      </w:pPr>
      <w:bookmarkStart w:id="14" w:name="_Toc9000349"/>
      <w:bookmarkStart w:id="15" w:name="_Toc12972324"/>
      <w:bookmarkStart w:id="16" w:name="_Toc22549374"/>
      <w:bookmarkStart w:id="17" w:name="_Toc122338380"/>
      <w:r w:rsidRPr="00D953A1">
        <w:rPr>
          <w:rFonts w:ascii="Kinetic Letters" w:eastAsia="Arial" w:hAnsi="Kinetic Letters" w:cs="Arial"/>
          <w:b/>
          <w:color w:val="0070C0"/>
          <w:sz w:val="36"/>
          <w:szCs w:val="36"/>
          <w:lang w:val="en-GB" w:eastAsia="en-GB"/>
        </w:rPr>
        <w:t>5. Where charges cannot be made</w:t>
      </w:r>
      <w:bookmarkEnd w:id="14"/>
      <w:bookmarkEnd w:id="15"/>
      <w:bookmarkEnd w:id="16"/>
      <w:bookmarkEnd w:id="17"/>
      <w:r w:rsidRPr="00D953A1">
        <w:rPr>
          <w:rFonts w:ascii="Kinetic Letters" w:eastAsia="Arial" w:hAnsi="Kinetic Letters" w:cs="Arial"/>
          <w:b/>
          <w:color w:val="FF1F64"/>
          <w:sz w:val="36"/>
          <w:szCs w:val="36"/>
          <w:lang w:val="en-GB" w:eastAsia="en-GB"/>
        </w:rPr>
        <w:tab/>
      </w:r>
    </w:p>
    <w:p w14:paraId="00F646D8" w14:textId="77777777" w:rsidR="003F68D2" w:rsidRPr="00D953A1" w:rsidRDefault="003F68D2" w:rsidP="003F68D2">
      <w:pPr>
        <w:rPr>
          <w:rFonts w:ascii="Kinetic Letters" w:hAnsi="Kinetic Letters"/>
          <w:sz w:val="32"/>
          <w:szCs w:val="32"/>
          <w:lang w:val="en-GB" w:eastAsia="en-GB"/>
        </w:rPr>
      </w:pPr>
      <w:r w:rsidRPr="00D953A1">
        <w:rPr>
          <w:rFonts w:ascii="Kinetic Letters" w:hAnsi="Kinetic Letters"/>
          <w:sz w:val="32"/>
          <w:szCs w:val="32"/>
          <w:lang w:val="en-GB" w:eastAsia="en-GB"/>
        </w:rPr>
        <w:t xml:space="preserve">Below we set out what we </w:t>
      </w:r>
      <w:r w:rsidRPr="00D953A1">
        <w:rPr>
          <w:rFonts w:ascii="Kinetic Letters" w:hAnsi="Kinetic Letters"/>
          <w:b/>
          <w:sz w:val="32"/>
          <w:szCs w:val="32"/>
          <w:lang w:val="en-GB" w:eastAsia="en-GB"/>
        </w:rPr>
        <w:t xml:space="preserve">cannot </w:t>
      </w:r>
      <w:r w:rsidRPr="00D953A1">
        <w:rPr>
          <w:rFonts w:ascii="Kinetic Letters" w:hAnsi="Kinetic Letters"/>
          <w:sz w:val="32"/>
          <w:szCs w:val="32"/>
          <w:lang w:val="en-GB" w:eastAsia="en-GB"/>
        </w:rPr>
        <w:t xml:space="preserve">charge for: </w:t>
      </w:r>
    </w:p>
    <w:p w14:paraId="030878E8"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5.1 Education</w:t>
      </w:r>
    </w:p>
    <w:p w14:paraId="771304BE"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Admission applications</w:t>
      </w:r>
    </w:p>
    <w:p w14:paraId="2FA9D5A9"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lastRenderedPageBreak/>
        <w:t xml:space="preserve">Education provided during school hours (including the supply of any materials, books, instruments or other equipment) </w:t>
      </w:r>
    </w:p>
    <w:p w14:paraId="21767D74"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Education provided outside school hours if it is part of:</w:t>
      </w:r>
    </w:p>
    <w:p w14:paraId="59B78270" w14:textId="2372166E"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 xml:space="preserve">The National Curriculum </w:t>
      </w:r>
    </w:p>
    <w:p w14:paraId="7013DE79"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A syllabus for a prescribed public examination that the pupil is being prepared for at the school</w:t>
      </w:r>
    </w:p>
    <w:p w14:paraId="454AB55A"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 xml:space="preserve">Religious education </w:t>
      </w:r>
    </w:p>
    <w:p w14:paraId="5E1C1F07"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Instrumental or vocal tuition, for pupils learning individually or in groups, unless the tuition is provided at the request of the pupil’s parent/carer</w:t>
      </w:r>
    </w:p>
    <w:p w14:paraId="77DF2781"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Entry for a prescribed public examination if the pupil has been prepared for it at the school</w:t>
      </w:r>
    </w:p>
    <w:p w14:paraId="46FB8982"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Examination re-sit(s) if the pupil is being prepared for the re-sit(s) at the school</w:t>
      </w:r>
    </w:p>
    <w:p w14:paraId="3AD70DA1" w14:textId="77777777" w:rsidR="003F68D2" w:rsidRPr="00D953A1" w:rsidRDefault="003F68D2" w:rsidP="003F68D2">
      <w:pPr>
        <w:ind w:left="340"/>
        <w:rPr>
          <w:rFonts w:ascii="Kinetic Letters" w:hAnsi="Kinetic Letters" w:cs="Arial"/>
          <w:sz w:val="32"/>
          <w:szCs w:val="32"/>
          <w:lang w:val="en-GB" w:eastAsia="en-GB"/>
        </w:rPr>
      </w:pPr>
    </w:p>
    <w:p w14:paraId="6732A550"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5.2</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Transport</w:t>
      </w:r>
    </w:p>
    <w:p w14:paraId="1CFCE760"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Transporting registered pupils to or from the school premises, where the local authority (LA) has a statutory obligation to provide transport</w:t>
      </w:r>
    </w:p>
    <w:p w14:paraId="2D45044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Transporting registered pupils to other premises where the governing board or LA has arranged for pupils to be educated</w:t>
      </w:r>
    </w:p>
    <w:p w14:paraId="4BC1C653"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Transport that enables a pupil to meet an examination requirement when they have been prepared for that examination at the school</w:t>
      </w:r>
    </w:p>
    <w:p w14:paraId="63E2304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Transport provided in connection with an educational visit </w:t>
      </w:r>
    </w:p>
    <w:p w14:paraId="7762CA43"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5.3</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Residential visits</w:t>
      </w:r>
    </w:p>
    <w:p w14:paraId="23F66E91"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Education provided on any visit that takes place during school hours</w:t>
      </w:r>
    </w:p>
    <w:p w14:paraId="3FFC7ED4"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Education provided on any visit that takes place outside school hours if it is part of:</w:t>
      </w:r>
    </w:p>
    <w:p w14:paraId="549A4FCD"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 xml:space="preserve">The National Curriculum </w:t>
      </w:r>
    </w:p>
    <w:p w14:paraId="3EF43B92"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lastRenderedPageBreak/>
        <w:t>A syllabus for a prescribed public examination that the pupil is being prepared for at the school</w:t>
      </w:r>
    </w:p>
    <w:p w14:paraId="3A9E308C"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Religious education</w:t>
      </w:r>
    </w:p>
    <w:p w14:paraId="61B942E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Supply teachers, covering for teachers who are absent from school, accompanying pupils on a residential visit</w:t>
      </w:r>
    </w:p>
    <w:p w14:paraId="1B485BCE" w14:textId="77777777" w:rsidR="003F68D2" w:rsidRPr="00D953A1" w:rsidRDefault="003F68D2" w:rsidP="003F68D2">
      <w:pPr>
        <w:rPr>
          <w:rFonts w:ascii="Kinetic Letters" w:hAnsi="Kinetic Letters"/>
          <w:sz w:val="32"/>
          <w:szCs w:val="32"/>
          <w:lang w:val="en-GB" w:eastAsia="en-GB"/>
        </w:rPr>
      </w:pPr>
    </w:p>
    <w:p w14:paraId="41F6B70B" w14:textId="77777777" w:rsidR="003F68D2" w:rsidRPr="00D953A1" w:rsidRDefault="003F68D2" w:rsidP="003F68D2">
      <w:pPr>
        <w:spacing w:before="120"/>
        <w:outlineLvl w:val="0"/>
        <w:rPr>
          <w:rFonts w:ascii="Kinetic Letters" w:eastAsia="Calibri" w:hAnsi="Kinetic Letters" w:cs="Arial"/>
          <w:b/>
          <w:color w:val="0070C0"/>
          <w:sz w:val="36"/>
          <w:szCs w:val="36"/>
          <w:lang w:val="en-GB" w:eastAsia="en-GB"/>
        </w:rPr>
      </w:pPr>
      <w:bookmarkStart w:id="18" w:name="_Toc9000350"/>
      <w:bookmarkStart w:id="19" w:name="_Toc12972325"/>
      <w:bookmarkStart w:id="20" w:name="_Toc22549375"/>
      <w:bookmarkStart w:id="21" w:name="_Toc122338381"/>
      <w:r w:rsidRPr="00D953A1">
        <w:rPr>
          <w:rFonts w:ascii="Kinetic Letters" w:eastAsia="Arial" w:hAnsi="Kinetic Letters" w:cs="Arial"/>
          <w:b/>
          <w:color w:val="0070C0"/>
          <w:sz w:val="36"/>
          <w:szCs w:val="36"/>
          <w:lang w:val="en-GB" w:eastAsia="en-GB"/>
        </w:rPr>
        <w:t>6. Where charges can be made</w:t>
      </w:r>
      <w:bookmarkEnd w:id="18"/>
      <w:bookmarkEnd w:id="19"/>
      <w:bookmarkEnd w:id="20"/>
      <w:bookmarkEnd w:id="21"/>
    </w:p>
    <w:p w14:paraId="30D8E63B"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Below we set out what we </w:t>
      </w:r>
      <w:r w:rsidRPr="00D953A1">
        <w:rPr>
          <w:rFonts w:ascii="Kinetic Letters" w:hAnsi="Kinetic Letters"/>
          <w:b/>
          <w:sz w:val="32"/>
          <w:szCs w:val="32"/>
          <w:lang w:val="en-GB" w:eastAsia="en-GB"/>
        </w:rPr>
        <w:t>can</w:t>
      </w:r>
      <w:r w:rsidRPr="00D953A1">
        <w:rPr>
          <w:rFonts w:ascii="Kinetic Letters" w:hAnsi="Kinetic Letters"/>
          <w:sz w:val="32"/>
          <w:szCs w:val="32"/>
          <w:lang w:val="en-GB" w:eastAsia="en-GB"/>
        </w:rPr>
        <w:t xml:space="preserve"> charge for: </w:t>
      </w:r>
    </w:p>
    <w:p w14:paraId="0C0538FB"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6.1</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Education</w:t>
      </w:r>
    </w:p>
    <w:p w14:paraId="3F67BCF7"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Any materials, books, instruments or equipment, where the child’s parent/carer wishes the child to own them</w:t>
      </w:r>
    </w:p>
    <w:p w14:paraId="09C92A0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Optional extras (see section 6.2)</w:t>
      </w:r>
    </w:p>
    <w:p w14:paraId="055DD6F0"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Music and vocal tuition, in limited circumstances (see section 6.3)</w:t>
      </w:r>
    </w:p>
    <w:p w14:paraId="7C0B75D9"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Certain early years provision</w:t>
      </w:r>
    </w:p>
    <w:p w14:paraId="5EB4FCAB"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Community facilities </w:t>
      </w:r>
    </w:p>
    <w:p w14:paraId="604E0941"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Examination re-sit(s) if the pupil is being prepared for the re-sit(s) at the school </w:t>
      </w:r>
      <w:r w:rsidRPr="00D953A1">
        <w:rPr>
          <w:rFonts w:ascii="Kinetic Letters" w:hAnsi="Kinetic Letters"/>
          <w:b/>
          <w:sz w:val="32"/>
          <w:szCs w:val="32"/>
          <w:lang w:val="en-GB" w:eastAsia="en-GB"/>
        </w:rPr>
        <w:t>and</w:t>
      </w:r>
      <w:r w:rsidRPr="00D953A1">
        <w:rPr>
          <w:rFonts w:ascii="Kinetic Letters" w:hAnsi="Kinetic Letters"/>
          <w:sz w:val="32"/>
          <w:szCs w:val="32"/>
          <w:lang w:val="en-GB" w:eastAsia="en-GB"/>
        </w:rPr>
        <w:t xml:space="preserve"> the pupil fails, without good reason, to meet any examination requirement for a syllabus </w:t>
      </w:r>
    </w:p>
    <w:p w14:paraId="2CC5FA5A"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6.2</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Optional extras</w:t>
      </w:r>
    </w:p>
    <w:p w14:paraId="42220C36"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We </w:t>
      </w:r>
      <w:proofErr w:type="gramStart"/>
      <w:r w:rsidRPr="00D953A1">
        <w:rPr>
          <w:rFonts w:ascii="Kinetic Letters" w:hAnsi="Kinetic Letters"/>
          <w:sz w:val="32"/>
          <w:szCs w:val="32"/>
          <w:lang w:val="en-GB" w:eastAsia="en-GB"/>
        </w:rPr>
        <w:t>are able to</w:t>
      </w:r>
      <w:proofErr w:type="gramEnd"/>
      <w:r w:rsidRPr="00D953A1">
        <w:rPr>
          <w:rFonts w:ascii="Kinetic Letters" w:hAnsi="Kinetic Letters"/>
          <w:sz w:val="32"/>
          <w:szCs w:val="32"/>
          <w:lang w:val="en-GB" w:eastAsia="en-GB"/>
        </w:rPr>
        <w:t xml:space="preserve"> charge for activities known as ‘optional </w:t>
      </w:r>
      <w:proofErr w:type="gramStart"/>
      <w:r w:rsidRPr="00D953A1">
        <w:rPr>
          <w:rFonts w:ascii="Kinetic Letters" w:hAnsi="Kinetic Letters"/>
          <w:sz w:val="32"/>
          <w:szCs w:val="32"/>
          <w:lang w:val="en-GB" w:eastAsia="en-GB"/>
        </w:rPr>
        <w:t>extras’</w:t>
      </w:r>
      <w:proofErr w:type="gramEnd"/>
      <w:r w:rsidRPr="00D953A1">
        <w:rPr>
          <w:rFonts w:ascii="Kinetic Letters" w:hAnsi="Kinetic Letters"/>
          <w:sz w:val="32"/>
          <w:szCs w:val="32"/>
          <w:lang w:val="en-GB" w:eastAsia="en-GB"/>
        </w:rPr>
        <w:t>. In these cases, schools can charge for providing materials, books, instruments or equipment. The following are optional extras:</w:t>
      </w:r>
    </w:p>
    <w:p w14:paraId="2F3B5254"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Education provided outside of school time that is not part of:</w:t>
      </w:r>
    </w:p>
    <w:p w14:paraId="11D22AC6"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The National Curriculum</w:t>
      </w:r>
    </w:p>
    <w:p w14:paraId="46BFA1A1"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A syllabus for a prescribed public examination that the pupil is being prepared for at the school</w:t>
      </w:r>
    </w:p>
    <w:p w14:paraId="40A88411" w14:textId="77777777" w:rsidR="003F68D2" w:rsidRPr="00D953A1" w:rsidRDefault="003F68D2" w:rsidP="003F68D2">
      <w:pPr>
        <w:numPr>
          <w:ilvl w:val="0"/>
          <w:numId w:val="42"/>
        </w:numPr>
        <w:spacing w:after="120"/>
        <w:rPr>
          <w:rFonts w:ascii="Kinetic Letters" w:hAnsi="Kinetic Letters"/>
          <w:sz w:val="32"/>
          <w:szCs w:val="32"/>
          <w:lang w:val="en-GB" w:eastAsia="en-GB"/>
        </w:rPr>
      </w:pPr>
      <w:r w:rsidRPr="00D953A1">
        <w:rPr>
          <w:rFonts w:ascii="Kinetic Letters" w:hAnsi="Kinetic Letters"/>
          <w:sz w:val="32"/>
          <w:szCs w:val="32"/>
          <w:lang w:val="en-GB" w:eastAsia="en-GB"/>
        </w:rPr>
        <w:t xml:space="preserve">Religious education </w:t>
      </w:r>
    </w:p>
    <w:p w14:paraId="1BDF4D34"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lastRenderedPageBreak/>
        <w:t>Examination entry fee(s) if the registered pupil has not been prepared for the examination(s) at the school</w:t>
      </w:r>
    </w:p>
    <w:p w14:paraId="60A1933D"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Transport (other than transport that is required to take the pupil to school or to other premises where the LA or governing board has arranged for the pupil to be provided with education)</w:t>
      </w:r>
    </w:p>
    <w:p w14:paraId="319A72B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Board and lodging for a pupil on a residential visit</w:t>
      </w:r>
    </w:p>
    <w:p w14:paraId="0D2F8B02"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Extended day services offered to pupils (such as breakfast clubs, after-school clubs, tea and supervised homework sessions) </w:t>
      </w:r>
    </w:p>
    <w:p w14:paraId="73F48BDD"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When calculating the cost of optional extras, an amount may be included in relation to: </w:t>
      </w:r>
    </w:p>
    <w:p w14:paraId="07A689B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Any materials, books, instruments or equipment provided in connection with the optional extra</w:t>
      </w:r>
    </w:p>
    <w:p w14:paraId="1AFDB84D"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The cost of buildings and accommodation</w:t>
      </w:r>
    </w:p>
    <w:p w14:paraId="129429C2"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Non-teaching staff</w:t>
      </w:r>
    </w:p>
    <w:p w14:paraId="5912AB67"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Teaching staff engaged under contracts for services purely to provide an optional extra (including supply teachers engaged specifically to provide the optional extra)</w:t>
      </w:r>
    </w:p>
    <w:p w14:paraId="3C466389"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The cost, or an appropriate proportion of the costs, for teaching staff employed to provide tuition in playing a musical instrument, or vocal tuition, where the tuition is an optional extra</w:t>
      </w:r>
    </w:p>
    <w:p w14:paraId="736565CB"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Any charge made in respect of individual pupils will not be greater than the actual cost of providing the optional extra activity, divided equally by the number of pupils participating. </w:t>
      </w:r>
    </w:p>
    <w:p w14:paraId="13FF1396"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Any charge will not include an element of subsidy for any other pupils who wish to take part in the activity but whose parents/carers are unwilling or unable to pay the full charge. </w:t>
      </w:r>
    </w:p>
    <w:p w14:paraId="3B9F1844" w14:textId="77777777" w:rsidR="003F68D2" w:rsidRPr="00D953A1" w:rsidRDefault="003F68D2" w:rsidP="003F68D2">
      <w:pPr>
        <w:rPr>
          <w:rFonts w:ascii="Kinetic Letters" w:hAnsi="Kinetic Letters"/>
          <w:sz w:val="32"/>
          <w:szCs w:val="32"/>
          <w:lang w:val="en-GB" w:eastAsia="en-GB"/>
        </w:rPr>
      </w:pPr>
      <w:r w:rsidRPr="00D953A1">
        <w:rPr>
          <w:rFonts w:ascii="Kinetic Letters" w:hAnsi="Kinetic Letters"/>
          <w:sz w:val="32"/>
          <w:szCs w:val="32"/>
          <w:lang w:val="en-GB" w:eastAsia="en-GB"/>
        </w:rPr>
        <w:t xml:space="preserve">In cases where a small proportion of the activity takes place during school hours, the charge cannot include the cost of alternative provision for those pupils who do not wish to participate. </w:t>
      </w:r>
    </w:p>
    <w:p w14:paraId="6172BA13" w14:textId="77777777" w:rsidR="003F68D2" w:rsidRPr="00D953A1" w:rsidRDefault="003F68D2" w:rsidP="003F68D2">
      <w:pPr>
        <w:rPr>
          <w:rFonts w:ascii="Kinetic Letters" w:hAnsi="Kinetic Letters"/>
          <w:sz w:val="32"/>
          <w:szCs w:val="32"/>
          <w:lang w:val="en-GB" w:eastAsia="en-GB"/>
        </w:rPr>
      </w:pPr>
      <w:r w:rsidRPr="00D953A1">
        <w:rPr>
          <w:rFonts w:ascii="Kinetic Letters" w:hAnsi="Kinetic Letters"/>
          <w:sz w:val="32"/>
          <w:szCs w:val="32"/>
          <w:lang w:val="en-GB" w:eastAsia="en-GB"/>
        </w:rPr>
        <w:t xml:space="preserve">Parental agreement is necessary for the provision of an optional extra that is to be charged for. </w:t>
      </w:r>
    </w:p>
    <w:p w14:paraId="09594EC9"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6.3</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Music tuition</w:t>
      </w:r>
    </w:p>
    <w:p w14:paraId="42302D5E"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Schools can charge for vocal or instrumental tuition provided either individually or to groups of pupils, provided that the tuition is provided at the request of the pupil’s parent/carer.</w:t>
      </w:r>
    </w:p>
    <w:p w14:paraId="4D493967"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Charges may not exceed the cost of the provision, including the cost of the staff giving the tuition. </w:t>
      </w:r>
    </w:p>
    <w:p w14:paraId="0D2BFE7C"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lastRenderedPageBreak/>
        <w:t>Charges cannot be made:</w:t>
      </w:r>
    </w:p>
    <w:p w14:paraId="6BCE9B42"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If the teaching is an essential part of the National Curriculum </w:t>
      </w:r>
    </w:p>
    <w:p w14:paraId="7027265D"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If the teaching is provided under the first access to the Key Stage 2 instrumental and vocal tuition programme</w:t>
      </w:r>
    </w:p>
    <w:p w14:paraId="28F7B380"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For a pupil who is looked after by a local authority </w:t>
      </w:r>
    </w:p>
    <w:p w14:paraId="41ADF6C3"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6.4</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Residential visits</w:t>
      </w:r>
    </w:p>
    <w:p w14:paraId="49E078B2"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We can charge for board and lodging on residential visits, but the charge must not exceed the actual cost.</w:t>
      </w:r>
      <w:r w:rsidRPr="00D953A1">
        <w:rPr>
          <w:rFonts w:ascii="Cambria" w:hAnsi="Cambria" w:cs="Cambria"/>
          <w:sz w:val="32"/>
          <w:szCs w:val="32"/>
          <w:lang w:val="en-GB" w:eastAsia="en-GB"/>
        </w:rPr>
        <w:t> </w:t>
      </w:r>
      <w:r w:rsidRPr="00D953A1">
        <w:rPr>
          <w:rFonts w:ascii="Kinetic Letters" w:hAnsi="Kinetic Letters"/>
          <w:sz w:val="32"/>
          <w:szCs w:val="32"/>
          <w:lang w:val="en-GB" w:eastAsia="en-GB"/>
        </w:rPr>
        <w:t xml:space="preserve"> </w:t>
      </w:r>
    </w:p>
    <w:p w14:paraId="4383270C" w14:textId="77777777" w:rsidR="003F68D2" w:rsidRPr="00D953A1" w:rsidRDefault="003F68D2" w:rsidP="003F68D2">
      <w:pPr>
        <w:rPr>
          <w:rFonts w:ascii="Kinetic Letters" w:hAnsi="Kinetic Letters"/>
          <w:sz w:val="32"/>
          <w:szCs w:val="32"/>
          <w:lang w:val="en-GB" w:eastAsia="en-GB"/>
        </w:rPr>
      </w:pPr>
    </w:p>
    <w:p w14:paraId="197DBDCB" w14:textId="77777777" w:rsidR="003F68D2" w:rsidRPr="00D953A1" w:rsidRDefault="003F68D2" w:rsidP="003F68D2">
      <w:pPr>
        <w:spacing w:before="120"/>
        <w:outlineLvl w:val="0"/>
        <w:rPr>
          <w:rFonts w:ascii="Kinetic Letters" w:eastAsia="Calibri" w:hAnsi="Kinetic Letters" w:cs="Arial"/>
          <w:b/>
          <w:color w:val="0070C0"/>
          <w:sz w:val="36"/>
          <w:szCs w:val="36"/>
          <w:lang w:val="en-GB" w:eastAsia="en-GB"/>
        </w:rPr>
      </w:pPr>
      <w:bookmarkStart w:id="22" w:name="_Toc9000351"/>
      <w:bookmarkStart w:id="23" w:name="_Toc12972326"/>
      <w:bookmarkStart w:id="24" w:name="_Toc22549376"/>
      <w:bookmarkStart w:id="25" w:name="_Toc122338382"/>
      <w:r w:rsidRPr="00D953A1">
        <w:rPr>
          <w:rFonts w:ascii="Kinetic Letters" w:eastAsia="Arial" w:hAnsi="Kinetic Letters" w:cs="Arial"/>
          <w:b/>
          <w:color w:val="0070C0"/>
          <w:sz w:val="36"/>
          <w:szCs w:val="36"/>
          <w:lang w:val="en-GB" w:eastAsia="en-GB"/>
        </w:rPr>
        <w:t>7. Voluntary contributions</w:t>
      </w:r>
      <w:bookmarkEnd w:id="22"/>
      <w:bookmarkEnd w:id="23"/>
      <w:bookmarkEnd w:id="24"/>
      <w:bookmarkEnd w:id="25"/>
    </w:p>
    <w:p w14:paraId="07E6E4B3"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As an exception to the requirements set out in section 5 of this policy, the school </w:t>
      </w:r>
      <w:proofErr w:type="gramStart"/>
      <w:r w:rsidRPr="00D953A1">
        <w:rPr>
          <w:rFonts w:ascii="Kinetic Letters" w:hAnsi="Kinetic Letters"/>
          <w:sz w:val="32"/>
          <w:szCs w:val="32"/>
          <w:lang w:val="en-GB" w:eastAsia="en-GB"/>
        </w:rPr>
        <w:t>is able to</w:t>
      </w:r>
      <w:proofErr w:type="gramEnd"/>
      <w:r w:rsidRPr="00D953A1">
        <w:rPr>
          <w:rFonts w:ascii="Kinetic Letters" w:hAnsi="Kinetic Letters"/>
          <w:sz w:val="32"/>
          <w:szCs w:val="32"/>
          <w:lang w:val="en-GB" w:eastAsia="en-GB"/>
        </w:rPr>
        <w:t xml:space="preserve"> ask for voluntary contributions from parents/carers to fund activities that would not otherwise be possible. </w:t>
      </w:r>
    </w:p>
    <w:p w14:paraId="3FE0533C"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Some activities for which the school may ask parents/carers for voluntary contributions include:</w:t>
      </w:r>
    </w:p>
    <w:p w14:paraId="1A77B005" w14:textId="77777777" w:rsidR="00D953A1" w:rsidRPr="00172DAB" w:rsidRDefault="00D953A1" w:rsidP="003F68D2">
      <w:pPr>
        <w:pStyle w:val="3Bulletedcopyblue"/>
        <w:rPr>
          <w:rFonts w:ascii="Kinetic Letters" w:hAnsi="Kinetic Letters"/>
          <w:sz w:val="32"/>
          <w:szCs w:val="32"/>
          <w:lang w:val="en-GB" w:eastAsia="en-GB"/>
        </w:rPr>
      </w:pPr>
      <w:r w:rsidRPr="00172DAB">
        <w:rPr>
          <w:rFonts w:ascii="Kinetic Letters" w:hAnsi="Kinetic Letters"/>
          <w:sz w:val="32"/>
          <w:szCs w:val="32"/>
          <w:shd w:val="clear" w:color="auto" w:fill="FFFF00"/>
          <w:lang w:val="en-GB" w:eastAsia="en-GB"/>
        </w:rPr>
        <w:t>Trips to enhance the curriculum</w:t>
      </w:r>
    </w:p>
    <w:p w14:paraId="7D9F7561" w14:textId="77777777" w:rsidR="00D953A1" w:rsidRPr="00172DAB" w:rsidRDefault="00D953A1" w:rsidP="00AB3D21">
      <w:pPr>
        <w:pStyle w:val="3Bulletedcopyblue"/>
        <w:rPr>
          <w:rFonts w:ascii="Kinetic Letters" w:hAnsi="Kinetic Letters"/>
          <w:sz w:val="32"/>
          <w:szCs w:val="32"/>
          <w:lang w:val="en-GB" w:eastAsia="en-GB"/>
        </w:rPr>
      </w:pPr>
      <w:r w:rsidRPr="00172DAB">
        <w:rPr>
          <w:rFonts w:ascii="Kinetic Letters" w:hAnsi="Kinetic Letters"/>
          <w:sz w:val="32"/>
          <w:szCs w:val="32"/>
          <w:shd w:val="clear" w:color="auto" w:fill="FFFF00"/>
          <w:lang w:val="en-GB" w:eastAsia="en-GB"/>
        </w:rPr>
        <w:t xml:space="preserve">Visitors in school to enhance children’s experiences </w:t>
      </w:r>
    </w:p>
    <w:p w14:paraId="0ABEC480" w14:textId="77777777" w:rsidR="00172DAB" w:rsidRDefault="00172DAB" w:rsidP="00172DAB">
      <w:pPr>
        <w:pStyle w:val="3Bulletedcopyblue"/>
        <w:numPr>
          <w:ilvl w:val="0"/>
          <w:numId w:val="0"/>
        </w:numPr>
        <w:ind w:left="170"/>
        <w:rPr>
          <w:rFonts w:ascii="Kinetic Letters" w:hAnsi="Kinetic Letters"/>
          <w:b/>
          <w:sz w:val="32"/>
          <w:szCs w:val="32"/>
          <w:lang w:val="en-GB" w:eastAsia="en-GB"/>
        </w:rPr>
      </w:pPr>
    </w:p>
    <w:p w14:paraId="625DB9C3" w14:textId="75EFC753" w:rsidR="003F68D2" w:rsidRPr="00172DAB" w:rsidRDefault="003F68D2" w:rsidP="00172DAB">
      <w:pPr>
        <w:pStyle w:val="3Bulletedcopyblue"/>
        <w:numPr>
          <w:ilvl w:val="0"/>
          <w:numId w:val="0"/>
        </w:numPr>
        <w:ind w:left="170"/>
        <w:rPr>
          <w:rFonts w:ascii="Kinetic Letters" w:hAnsi="Kinetic Letters"/>
          <w:bCs/>
          <w:sz w:val="32"/>
          <w:szCs w:val="32"/>
          <w:lang w:val="en-GB" w:eastAsia="en-GB"/>
        </w:rPr>
      </w:pPr>
      <w:r w:rsidRPr="00172DAB">
        <w:rPr>
          <w:rFonts w:ascii="Kinetic Letters" w:hAnsi="Kinetic Letters"/>
          <w:bCs/>
          <w:sz w:val="32"/>
          <w:szCs w:val="32"/>
          <w:lang w:val="en-GB" w:eastAsia="en-GB"/>
        </w:rPr>
        <w:t xml:space="preserve">There is no obligation for parents/carers to make any contribution, and no child will be excluded from an activity if their parents/carers are unwilling or unable to pay. </w:t>
      </w:r>
    </w:p>
    <w:p w14:paraId="40AC6474"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If the school is unable to raise enough funds for an activity or </w:t>
      </w:r>
      <w:proofErr w:type="gramStart"/>
      <w:r w:rsidRPr="00D953A1">
        <w:rPr>
          <w:rFonts w:ascii="Kinetic Letters" w:hAnsi="Kinetic Letters"/>
          <w:sz w:val="32"/>
          <w:szCs w:val="32"/>
          <w:lang w:val="en-GB" w:eastAsia="en-GB"/>
        </w:rPr>
        <w:t>visit</w:t>
      </w:r>
      <w:proofErr w:type="gramEnd"/>
      <w:r w:rsidRPr="00D953A1">
        <w:rPr>
          <w:rFonts w:ascii="Kinetic Letters" w:hAnsi="Kinetic Letters"/>
          <w:sz w:val="32"/>
          <w:szCs w:val="32"/>
          <w:lang w:val="en-GB" w:eastAsia="en-GB"/>
        </w:rPr>
        <w:t xml:space="preserve"> then it will be cancelled.</w:t>
      </w:r>
    </w:p>
    <w:p w14:paraId="30967E39" w14:textId="77777777" w:rsidR="003F68D2" w:rsidRPr="00D953A1" w:rsidRDefault="003F68D2" w:rsidP="003F68D2">
      <w:pPr>
        <w:rPr>
          <w:rFonts w:ascii="Kinetic Letters" w:hAnsi="Kinetic Letters"/>
          <w:sz w:val="32"/>
          <w:szCs w:val="32"/>
          <w:lang w:val="en-GB" w:eastAsia="en-GB"/>
        </w:rPr>
      </w:pPr>
    </w:p>
    <w:p w14:paraId="18752082" w14:textId="77777777" w:rsidR="003F68D2" w:rsidRPr="00172DAB" w:rsidRDefault="003F68D2" w:rsidP="003F68D2">
      <w:pPr>
        <w:spacing w:before="120"/>
        <w:outlineLvl w:val="0"/>
        <w:rPr>
          <w:rFonts w:ascii="Kinetic Letters" w:eastAsia="Calibri" w:hAnsi="Kinetic Letters" w:cs="Arial"/>
          <w:b/>
          <w:color w:val="0070C0"/>
          <w:sz w:val="36"/>
          <w:szCs w:val="36"/>
          <w:lang w:val="en-GB" w:eastAsia="en-GB"/>
        </w:rPr>
      </w:pPr>
      <w:bookmarkStart w:id="26" w:name="_Toc9000352"/>
      <w:bookmarkStart w:id="27" w:name="_Toc12972327"/>
      <w:bookmarkStart w:id="28" w:name="_Toc22549377"/>
      <w:bookmarkStart w:id="29" w:name="_Toc122338383"/>
      <w:r w:rsidRPr="00172DAB">
        <w:rPr>
          <w:rFonts w:ascii="Kinetic Letters" w:eastAsia="Arial" w:hAnsi="Kinetic Letters" w:cs="Arial"/>
          <w:b/>
          <w:color w:val="0070C0"/>
          <w:sz w:val="36"/>
          <w:szCs w:val="36"/>
          <w:lang w:val="en-GB" w:eastAsia="en-GB"/>
        </w:rPr>
        <w:t>8. Activities we charge for</w:t>
      </w:r>
      <w:bookmarkEnd w:id="26"/>
      <w:bookmarkEnd w:id="27"/>
      <w:bookmarkEnd w:id="28"/>
      <w:bookmarkEnd w:id="29"/>
      <w:r w:rsidRPr="00172DAB">
        <w:rPr>
          <w:rFonts w:ascii="Kinetic Letters" w:eastAsia="Arial" w:hAnsi="Kinetic Letters" w:cs="Arial"/>
          <w:b/>
          <w:color w:val="0070C0"/>
          <w:sz w:val="36"/>
          <w:szCs w:val="36"/>
          <w:lang w:val="en-GB" w:eastAsia="en-GB"/>
        </w:rPr>
        <w:t xml:space="preserve"> </w:t>
      </w:r>
    </w:p>
    <w:p w14:paraId="606CDFDC"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The school will charge for the following activities: </w:t>
      </w:r>
    </w:p>
    <w:p w14:paraId="173A65FD" w14:textId="77777777" w:rsidR="00172DAB" w:rsidRPr="00D953A1" w:rsidRDefault="00172DAB" w:rsidP="00172DAB">
      <w:pPr>
        <w:pStyle w:val="3Bulletedcopyblue"/>
        <w:rPr>
          <w:rFonts w:ascii="Kinetic Letters" w:hAnsi="Kinetic Letters"/>
          <w:sz w:val="32"/>
          <w:szCs w:val="32"/>
          <w:lang w:val="en-GB" w:eastAsia="en-GB"/>
        </w:rPr>
      </w:pPr>
      <w:r w:rsidRPr="00D953A1">
        <w:rPr>
          <w:rFonts w:ascii="Kinetic Letters" w:hAnsi="Kinetic Letters"/>
          <w:sz w:val="32"/>
          <w:szCs w:val="32"/>
          <w:shd w:val="clear" w:color="auto" w:fill="FFFF00"/>
          <w:lang w:val="en-GB" w:eastAsia="en-GB"/>
        </w:rPr>
        <w:t>School sports coach for after school activity</w:t>
      </w:r>
    </w:p>
    <w:p w14:paraId="366756A1" w14:textId="77777777" w:rsidR="00172DAB" w:rsidRPr="00172DAB" w:rsidRDefault="00172DAB" w:rsidP="00172DAB">
      <w:pPr>
        <w:pStyle w:val="3Bulletedcopyblue"/>
        <w:rPr>
          <w:rFonts w:ascii="Kinetic Letters" w:hAnsi="Kinetic Letters"/>
          <w:sz w:val="32"/>
          <w:szCs w:val="32"/>
          <w:lang w:val="en-GB" w:eastAsia="en-GB"/>
        </w:rPr>
      </w:pPr>
      <w:r w:rsidRPr="00D953A1">
        <w:rPr>
          <w:rFonts w:ascii="Kinetic Letters" w:hAnsi="Kinetic Letters"/>
          <w:sz w:val="32"/>
          <w:szCs w:val="32"/>
          <w:shd w:val="clear" w:color="auto" w:fill="FFFF00"/>
          <w:lang w:val="en-GB" w:eastAsia="en-GB"/>
        </w:rPr>
        <w:t>Participation in a after school activity</w:t>
      </w:r>
    </w:p>
    <w:p w14:paraId="7B69A38C" w14:textId="22D1A057" w:rsidR="003F68D2" w:rsidRPr="00D953A1" w:rsidRDefault="003F68D2" w:rsidP="003F68D2">
      <w:pPr>
        <w:pStyle w:val="1bodycopy"/>
        <w:rPr>
          <w:rFonts w:ascii="Kinetic Letters" w:hAnsi="Kinetic Letters"/>
          <w:sz w:val="32"/>
          <w:szCs w:val="32"/>
          <w:lang w:eastAsia="en-GB"/>
        </w:rPr>
      </w:pPr>
      <w:r w:rsidRPr="00D953A1">
        <w:rPr>
          <w:rFonts w:ascii="Kinetic Letters" w:hAnsi="Kinetic Letters"/>
          <w:sz w:val="32"/>
          <w:szCs w:val="32"/>
          <w:lang w:val="en-GB" w:eastAsia="en-GB"/>
        </w:rPr>
        <w:t xml:space="preserve">For regular activities, the charges for each activity will be determined by the governing board and reviewed </w:t>
      </w:r>
      <w:r w:rsidR="00172DAB">
        <w:rPr>
          <w:rFonts w:ascii="Kinetic Letters" w:hAnsi="Kinetic Letters"/>
          <w:sz w:val="32"/>
          <w:szCs w:val="32"/>
          <w:lang w:val="en-GB" w:eastAsia="en-GB"/>
        </w:rPr>
        <w:t>e</w:t>
      </w:r>
      <w:r w:rsidRPr="00D953A1">
        <w:rPr>
          <w:rFonts w:ascii="Kinetic Letters" w:hAnsi="Kinetic Letters"/>
          <w:sz w:val="32"/>
          <w:szCs w:val="32"/>
          <w:lang w:val="en-GB" w:eastAsia="en-GB"/>
        </w:rPr>
        <w:t>ach year. Parents/carers will be informed of the charges for the coming year each year.</w:t>
      </w:r>
      <w:r w:rsidRPr="00D953A1">
        <w:rPr>
          <w:rFonts w:ascii="Kinetic Letters" w:hAnsi="Kinetic Letters"/>
          <w:sz w:val="32"/>
          <w:szCs w:val="32"/>
          <w:lang w:eastAsia="en-GB"/>
        </w:rPr>
        <w:t xml:space="preserve"> </w:t>
      </w:r>
    </w:p>
    <w:p w14:paraId="1EB42327" w14:textId="77777777" w:rsidR="003F68D2" w:rsidRPr="00D953A1" w:rsidRDefault="003F68D2" w:rsidP="003F68D2">
      <w:pPr>
        <w:rPr>
          <w:rFonts w:ascii="Kinetic Letters" w:eastAsia="Arial" w:hAnsi="Kinetic Letters" w:cs="Arial"/>
          <w:sz w:val="32"/>
          <w:szCs w:val="32"/>
          <w:lang w:eastAsia="en-GB"/>
        </w:rPr>
      </w:pPr>
    </w:p>
    <w:p w14:paraId="7FB55B37" w14:textId="77777777" w:rsidR="003F68D2" w:rsidRPr="00172DAB" w:rsidRDefault="003F68D2" w:rsidP="003F68D2">
      <w:pPr>
        <w:spacing w:before="120"/>
        <w:outlineLvl w:val="0"/>
        <w:rPr>
          <w:rFonts w:ascii="Kinetic Letters" w:eastAsia="Calibri" w:hAnsi="Kinetic Letters" w:cs="Arial"/>
          <w:b/>
          <w:color w:val="0070C0"/>
          <w:sz w:val="36"/>
          <w:szCs w:val="36"/>
          <w:lang w:val="en-GB" w:eastAsia="en-GB"/>
        </w:rPr>
      </w:pPr>
      <w:bookmarkStart w:id="30" w:name="_Toc9000353"/>
      <w:bookmarkStart w:id="31" w:name="_Toc12972328"/>
      <w:bookmarkStart w:id="32" w:name="_Toc22549378"/>
      <w:bookmarkStart w:id="33" w:name="_Toc122338384"/>
      <w:r w:rsidRPr="00172DAB">
        <w:rPr>
          <w:rFonts w:ascii="Kinetic Letters" w:eastAsia="Arial" w:hAnsi="Kinetic Letters" w:cs="Arial"/>
          <w:b/>
          <w:color w:val="0070C0"/>
          <w:sz w:val="36"/>
          <w:szCs w:val="36"/>
          <w:lang w:val="en-GB" w:eastAsia="en-GB"/>
        </w:rPr>
        <w:lastRenderedPageBreak/>
        <w:t>9. Remissions</w:t>
      </w:r>
      <w:bookmarkEnd w:id="30"/>
      <w:bookmarkEnd w:id="31"/>
      <w:bookmarkEnd w:id="32"/>
      <w:bookmarkEnd w:id="33"/>
    </w:p>
    <w:p w14:paraId="6B795B31"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In some circumstances, the school may not charge for items or activities set out in sections 6 and 8 of this policy. This will be at the discretion of the governing board and will depend on the activity in question.</w:t>
      </w:r>
    </w:p>
    <w:p w14:paraId="29AC5DB7" w14:textId="77777777" w:rsidR="003F68D2" w:rsidRPr="00D953A1" w:rsidRDefault="003F68D2" w:rsidP="003F68D2">
      <w:pPr>
        <w:spacing w:before="240"/>
        <w:rPr>
          <w:rFonts w:ascii="Kinetic Letters" w:hAnsi="Kinetic Letters"/>
          <w:b/>
          <w:color w:val="12263F"/>
          <w:sz w:val="32"/>
          <w:szCs w:val="32"/>
          <w:lang w:val="en-GB" w:eastAsia="en-GB"/>
        </w:rPr>
      </w:pPr>
      <w:r w:rsidRPr="00D953A1">
        <w:rPr>
          <w:rFonts w:ascii="Kinetic Letters" w:hAnsi="Kinetic Letters"/>
          <w:b/>
          <w:color w:val="12263F"/>
          <w:sz w:val="32"/>
          <w:szCs w:val="32"/>
          <w:lang w:val="en-GB" w:eastAsia="en-GB"/>
        </w:rPr>
        <w:t>9.1</w:t>
      </w:r>
      <w:r w:rsidRPr="00D953A1">
        <w:rPr>
          <w:rFonts w:ascii="Cambria" w:hAnsi="Cambria" w:cs="Cambria"/>
          <w:b/>
          <w:color w:val="12263F"/>
          <w:sz w:val="32"/>
          <w:szCs w:val="32"/>
          <w:lang w:val="en-GB" w:eastAsia="en-GB"/>
        </w:rPr>
        <w:t>  </w:t>
      </w:r>
      <w:r w:rsidRPr="00D953A1">
        <w:rPr>
          <w:rFonts w:ascii="Kinetic Letters" w:hAnsi="Kinetic Letters"/>
          <w:b/>
          <w:color w:val="12263F"/>
          <w:sz w:val="32"/>
          <w:szCs w:val="32"/>
          <w:lang w:val="en-GB" w:eastAsia="en-GB"/>
        </w:rPr>
        <w:t xml:space="preserve"> Remissions for residential visits</w:t>
      </w:r>
    </w:p>
    <w:p w14:paraId="5493F325" w14:textId="77777777"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Parents/carers who can prove they are in receipt of any of the following benefits will be exempt from paying the cost of board and lodging for residential visits:</w:t>
      </w:r>
    </w:p>
    <w:p w14:paraId="4AE3BF1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Income Support</w:t>
      </w:r>
    </w:p>
    <w:p w14:paraId="1E26975F"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Income-based Jobseeker’s Allowance</w:t>
      </w:r>
    </w:p>
    <w:p w14:paraId="4989CBF6"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Income-related Employment and Support Allowance</w:t>
      </w:r>
    </w:p>
    <w:p w14:paraId="46627BE7"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Support under part VI of the Immigration and Asylum Act 1999</w:t>
      </w:r>
    </w:p>
    <w:p w14:paraId="4B381719"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The guaranteed element of Pension Credit</w:t>
      </w:r>
    </w:p>
    <w:p w14:paraId="41DAED2D"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Child Tax Credit </w:t>
      </w:r>
      <w:r w:rsidRPr="00D953A1">
        <w:rPr>
          <w:rFonts w:ascii="Times New Roman" w:hAnsi="Times New Roman" w:cs="Times New Roman"/>
          <w:sz w:val="32"/>
          <w:szCs w:val="32"/>
          <w:lang w:val="en-GB" w:eastAsia="en-GB"/>
        </w:rPr>
        <w:t>–</w:t>
      </w:r>
      <w:r w:rsidRPr="00D953A1">
        <w:rPr>
          <w:rFonts w:ascii="Kinetic Letters" w:hAnsi="Kinetic Letters"/>
          <w:sz w:val="32"/>
          <w:szCs w:val="32"/>
          <w:lang w:val="en-GB" w:eastAsia="en-GB"/>
        </w:rPr>
        <w:t xml:space="preserve"> provided you’re not also entitled to Working Tax Credit and have an annual gross income of no more than £16,190</w:t>
      </w:r>
    </w:p>
    <w:p w14:paraId="06C9C20D"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Working Tax Credit run-on </w:t>
      </w:r>
      <w:r w:rsidRPr="00D953A1">
        <w:rPr>
          <w:rFonts w:ascii="Times New Roman" w:hAnsi="Times New Roman" w:cs="Times New Roman"/>
          <w:sz w:val="32"/>
          <w:szCs w:val="32"/>
          <w:lang w:val="en-GB" w:eastAsia="en-GB"/>
        </w:rPr>
        <w:t>–</w:t>
      </w:r>
      <w:r w:rsidRPr="00D953A1">
        <w:rPr>
          <w:rFonts w:ascii="Kinetic Letters" w:hAnsi="Kinetic Letters"/>
          <w:sz w:val="32"/>
          <w:szCs w:val="32"/>
          <w:lang w:val="en-GB" w:eastAsia="en-GB"/>
        </w:rPr>
        <w:t xml:space="preserve"> paid for 4 weeks after you stop qualifying for Working Tax Credit</w:t>
      </w:r>
    </w:p>
    <w:p w14:paraId="05261304" w14:textId="77777777" w:rsidR="003F68D2" w:rsidRPr="00D953A1" w:rsidRDefault="003F68D2" w:rsidP="003F68D2">
      <w:pPr>
        <w:pStyle w:val="3Bulletedcopyblue"/>
        <w:rPr>
          <w:rFonts w:ascii="Kinetic Letters" w:hAnsi="Kinetic Letters"/>
          <w:sz w:val="32"/>
          <w:szCs w:val="32"/>
          <w:lang w:val="en-GB" w:eastAsia="en-GB"/>
        </w:rPr>
      </w:pPr>
      <w:r w:rsidRPr="00D953A1">
        <w:rPr>
          <w:rFonts w:ascii="Kinetic Letters" w:hAnsi="Kinetic Letters"/>
          <w:sz w:val="32"/>
          <w:szCs w:val="32"/>
          <w:lang w:val="en-GB" w:eastAsia="en-GB"/>
        </w:rPr>
        <w:t xml:space="preserve">Universal Credit </w:t>
      </w:r>
      <w:r w:rsidRPr="00D953A1">
        <w:rPr>
          <w:rFonts w:ascii="Times New Roman" w:hAnsi="Times New Roman" w:cs="Times New Roman"/>
          <w:sz w:val="32"/>
          <w:szCs w:val="32"/>
          <w:lang w:val="en-GB" w:eastAsia="en-GB"/>
        </w:rPr>
        <w:t>–</w:t>
      </w:r>
      <w:r w:rsidRPr="00D953A1">
        <w:rPr>
          <w:rFonts w:ascii="Kinetic Letters" w:hAnsi="Kinetic Letters"/>
          <w:sz w:val="32"/>
          <w:szCs w:val="32"/>
          <w:lang w:val="en-GB" w:eastAsia="en-GB"/>
        </w:rPr>
        <w:t xml:space="preserve"> if you apply on or after 1 April 2018, your household income must be less than £7,400 a year (after tax and not including any benefits you get)</w:t>
      </w:r>
    </w:p>
    <w:p w14:paraId="3B2DAF29" w14:textId="77777777" w:rsidR="003F68D2" w:rsidRPr="00D953A1" w:rsidRDefault="003F68D2" w:rsidP="003F68D2">
      <w:pPr>
        <w:rPr>
          <w:rFonts w:ascii="Kinetic Letters" w:hAnsi="Kinetic Letters"/>
          <w:sz w:val="32"/>
          <w:szCs w:val="32"/>
          <w:lang w:val="en-GB" w:eastAsia="en-GB"/>
        </w:rPr>
      </w:pPr>
    </w:p>
    <w:p w14:paraId="62A590E8" w14:textId="77777777" w:rsidR="003F68D2" w:rsidRPr="00172DAB" w:rsidRDefault="003F68D2" w:rsidP="003F68D2">
      <w:pPr>
        <w:spacing w:before="120"/>
        <w:outlineLvl w:val="0"/>
        <w:rPr>
          <w:rFonts w:ascii="Kinetic Letters" w:eastAsia="Calibri" w:hAnsi="Kinetic Letters" w:cs="Arial"/>
          <w:b/>
          <w:color w:val="0070C0"/>
          <w:sz w:val="32"/>
          <w:szCs w:val="32"/>
          <w:lang w:val="en-GB" w:eastAsia="en-GB"/>
        </w:rPr>
      </w:pPr>
      <w:bookmarkStart w:id="34" w:name="_Toc9000354"/>
      <w:bookmarkStart w:id="35" w:name="_Toc12972329"/>
      <w:bookmarkStart w:id="36" w:name="_Toc22549379"/>
      <w:bookmarkStart w:id="37" w:name="_Toc122338385"/>
      <w:r w:rsidRPr="00172DAB">
        <w:rPr>
          <w:rFonts w:ascii="Kinetic Letters" w:eastAsia="Arial" w:hAnsi="Kinetic Letters" w:cs="Arial"/>
          <w:b/>
          <w:color w:val="0070C0"/>
          <w:sz w:val="32"/>
          <w:szCs w:val="32"/>
          <w:lang w:val="en-GB" w:eastAsia="en-GB"/>
        </w:rPr>
        <w:t>10. Monitoring arrangements</w:t>
      </w:r>
      <w:bookmarkEnd w:id="34"/>
      <w:bookmarkEnd w:id="35"/>
      <w:bookmarkEnd w:id="36"/>
      <w:bookmarkEnd w:id="37"/>
    </w:p>
    <w:p w14:paraId="04B50C65" w14:textId="4A56F2B9" w:rsidR="003F68D2" w:rsidRPr="00D953A1" w:rsidRDefault="003F68D2" w:rsidP="003F68D2">
      <w:pPr>
        <w:pStyle w:val="1bodycopy"/>
        <w:rPr>
          <w:rFonts w:ascii="Kinetic Letters" w:hAnsi="Kinetic Letters"/>
          <w:sz w:val="32"/>
          <w:szCs w:val="32"/>
          <w:lang w:val="en-GB" w:eastAsia="en-GB"/>
        </w:rPr>
      </w:pPr>
      <w:r w:rsidRPr="00D953A1">
        <w:rPr>
          <w:rFonts w:ascii="Kinetic Letters" w:hAnsi="Kinetic Letters"/>
          <w:sz w:val="32"/>
          <w:szCs w:val="32"/>
          <w:lang w:val="en-GB" w:eastAsia="en-GB"/>
        </w:rPr>
        <w:t xml:space="preserve">The </w:t>
      </w:r>
      <w:r w:rsidR="00172DAB" w:rsidRPr="00172DAB">
        <w:rPr>
          <w:rFonts w:ascii="Kinetic Letters" w:hAnsi="Kinetic Letters"/>
          <w:sz w:val="32"/>
          <w:szCs w:val="32"/>
          <w:shd w:val="clear" w:color="auto" w:fill="FFFF00"/>
          <w:lang w:val="en-GB" w:eastAsia="en-GB"/>
        </w:rPr>
        <w:t>School Business Manager</w:t>
      </w:r>
      <w:r w:rsidR="00172DAB">
        <w:rPr>
          <w:rFonts w:ascii="Kinetic Letters" w:hAnsi="Kinetic Letters"/>
          <w:sz w:val="32"/>
          <w:szCs w:val="32"/>
          <w:shd w:val="clear" w:color="auto" w:fill="FFFF00"/>
          <w:lang w:val="en-GB" w:eastAsia="en-GB"/>
        </w:rPr>
        <w:t xml:space="preserve"> </w:t>
      </w:r>
      <w:r w:rsidRPr="00D953A1">
        <w:rPr>
          <w:rFonts w:ascii="Kinetic Letters" w:hAnsi="Kinetic Letters"/>
          <w:sz w:val="32"/>
          <w:szCs w:val="32"/>
          <w:lang w:val="en-GB" w:eastAsia="en-GB"/>
        </w:rPr>
        <w:t xml:space="preserve">monitors charges and </w:t>
      </w:r>
      <w:r w:rsidR="00F86514" w:rsidRPr="00D953A1">
        <w:rPr>
          <w:rFonts w:ascii="Kinetic Letters" w:hAnsi="Kinetic Letters"/>
          <w:sz w:val="32"/>
          <w:szCs w:val="32"/>
          <w:lang w:val="en-GB" w:eastAsia="en-GB"/>
        </w:rPr>
        <w:t>remissions and</w:t>
      </w:r>
      <w:r w:rsidRPr="00D953A1">
        <w:rPr>
          <w:rFonts w:ascii="Kinetic Letters" w:hAnsi="Kinetic Letters"/>
          <w:sz w:val="32"/>
          <w:szCs w:val="32"/>
          <w:lang w:val="en-GB" w:eastAsia="en-GB"/>
        </w:rPr>
        <w:t xml:space="preserve"> ensures these comply with this policy. </w:t>
      </w:r>
    </w:p>
    <w:p w14:paraId="0AAD07EE" w14:textId="53512385" w:rsidR="00CE654E" w:rsidRPr="00D953A1" w:rsidRDefault="00CE654E" w:rsidP="003F68D2">
      <w:pPr>
        <w:pStyle w:val="1bodycopy"/>
        <w:rPr>
          <w:rFonts w:ascii="Kinetic Letters" w:hAnsi="Kinetic Letters"/>
          <w:sz w:val="32"/>
          <w:szCs w:val="32"/>
        </w:rPr>
      </w:pPr>
    </w:p>
    <w:sectPr w:rsidR="00CE654E" w:rsidRPr="00D953A1" w:rsidSect="00D953A1">
      <w:headerReference w:type="even" r:id="rId11"/>
      <w:headerReference w:type="default" r:id="rId12"/>
      <w:headerReference w:type="first" r:id="rId13"/>
      <w:footerReference w:type="first" r:id="rId14"/>
      <w:pgSz w:w="11900" w:h="16840"/>
      <w:pgMar w:top="851" w:right="851" w:bottom="851" w:left="851" w:header="737"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F6202" w14:textId="77777777" w:rsidR="00AA6868" w:rsidRDefault="00AA6868" w:rsidP="00626EDA">
      <w:r>
        <w:separator/>
      </w:r>
    </w:p>
  </w:endnote>
  <w:endnote w:type="continuationSeparator" w:id="0">
    <w:p w14:paraId="6DB6A678" w14:textId="77777777" w:rsidR="00AA6868" w:rsidRDefault="00AA6868"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Kinetic Letters">
    <w:panose1 w:val="000005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E35F6" w14:textId="77777777" w:rsidR="00874C73" w:rsidRDefault="00874C73">
    <w:pPr>
      <w:pStyle w:val="Footer"/>
    </w:pPr>
  </w:p>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503E" w:rsidRPr="00177722" w14:paraId="37ECEC4E" w14:textId="77777777" w:rsidTr="00332595">
      <w:tc>
        <w:tcPr>
          <w:tcW w:w="6379" w:type="dxa"/>
        </w:tcPr>
        <w:p w14:paraId="30A8CEB2" w14:textId="77777777" w:rsidR="00D0043C" w:rsidRPr="00D0043C" w:rsidRDefault="00D0043C" w:rsidP="00D0043C">
          <w:pPr>
            <w:rPr>
              <w:rFonts w:eastAsia="Times New Roman"/>
              <w:sz w:val="16"/>
              <w:szCs w:val="16"/>
              <w:lang w:val="en-GB" w:eastAsia="en-GB"/>
            </w:rPr>
          </w:pPr>
          <w:r w:rsidRPr="00D0043C">
            <w:rPr>
              <w:rFonts w:eastAsia="Times New Roman" w:cs="Arial"/>
              <w:color w:val="7C7C7C"/>
              <w:sz w:val="16"/>
              <w:szCs w:val="16"/>
              <w:bdr w:val="none" w:sz="0" w:space="0" w:color="auto" w:frame="1"/>
            </w:rPr>
            <w:t xml:space="preserve">Get the knowledge you need to act at </w:t>
          </w:r>
          <w:hyperlink r:id="rId1" w:history="1">
            <w:r w:rsidRPr="00D0043C">
              <w:rPr>
                <w:rStyle w:val="Hyperlink"/>
                <w:rFonts w:cs="Arial"/>
                <w:color w:val="7C7C7C"/>
                <w:sz w:val="16"/>
                <w:szCs w:val="16"/>
              </w:rPr>
              <w:t>thekeysupport.com/leaders</w:t>
            </w:r>
          </w:hyperlink>
        </w:p>
        <w:p w14:paraId="570E6292" w14:textId="77777777" w:rsidR="0092503E" w:rsidRPr="002F3163" w:rsidRDefault="00D0043C" w:rsidP="00D0043C">
          <w:pPr>
            <w:shd w:val="clear" w:color="auto" w:fill="FFFFFF"/>
            <w:textAlignment w:val="baseline"/>
            <w:rPr>
              <w:rFonts w:eastAsia="Times New Roman" w:cs="Arial"/>
              <w:color w:val="7C7C7C"/>
              <w:sz w:val="16"/>
              <w:szCs w:val="16"/>
            </w:rPr>
          </w:pPr>
          <w:r w:rsidRPr="00D0043C">
            <w:rPr>
              <w:color w:val="7C7C7C"/>
              <w:sz w:val="16"/>
              <w:szCs w:val="16"/>
            </w:rPr>
            <w:t xml:space="preserve">© The Key </w:t>
          </w:r>
          <w:r w:rsidRPr="00D0043C">
            <w:rPr>
              <w:rStyle w:val="FooterChar"/>
              <w:rFonts w:eastAsia="MS Mincho"/>
              <w:color w:val="7C7C7C"/>
            </w:rPr>
            <w:t>Support</w:t>
          </w:r>
          <w:r w:rsidRPr="00D0043C">
            <w:rPr>
              <w:color w:val="7C7C7C"/>
              <w:sz w:val="16"/>
              <w:szCs w:val="16"/>
            </w:rPr>
            <w:t xml:space="preserve"> Services Ltd | For terms of use, visit </w:t>
          </w:r>
          <w:hyperlink r:id="rId2" w:tgtFrame="_blank" w:history="1">
            <w:r w:rsidRPr="00D0043C">
              <w:rPr>
                <w:rStyle w:val="Hyperlink"/>
                <w:color w:val="7C7C7C"/>
                <w:sz w:val="16"/>
                <w:szCs w:val="16"/>
              </w:rPr>
              <w:t>thekeysupport.com/terms</w:t>
            </w:r>
          </w:hyperlink>
        </w:p>
      </w:tc>
      <w:tc>
        <w:tcPr>
          <w:tcW w:w="3402" w:type="dxa"/>
        </w:tcPr>
        <w:p w14:paraId="5DE8680F" w14:textId="77777777" w:rsidR="0092503E" w:rsidRPr="00177722" w:rsidRDefault="001F5FDB" w:rsidP="0092503E">
          <w:pPr>
            <w:shd w:val="clear" w:color="auto" w:fill="FFFFFF"/>
            <w:jc w:val="right"/>
            <w:textAlignment w:val="baseline"/>
            <w:rPr>
              <w:rFonts w:eastAsia="Times New Roman" w:cs="Arial"/>
              <w:color w:val="BFBFBF"/>
              <w:sz w:val="17"/>
              <w:szCs w:val="17"/>
              <w:bdr w:val="none" w:sz="0" w:space="0" w:color="auto" w:frame="1"/>
            </w:rPr>
          </w:pPr>
          <w:r>
            <w:rPr>
              <w:rFonts w:eastAsia="Times New Roman" w:cs="Arial"/>
              <w:noProof/>
              <w:color w:val="BFBFBF"/>
              <w:sz w:val="17"/>
              <w:szCs w:val="17"/>
              <w:bdr w:val="none" w:sz="0" w:space="0" w:color="auto" w:frame="1"/>
              <w:lang w:val="en-GB" w:eastAsia="en-GB"/>
            </w:rPr>
            <w:drawing>
              <wp:inline distT="0" distB="0" distL="0" distR="0" wp14:anchorId="3775AB87" wp14:editId="38423B4D">
                <wp:extent cx="1674156" cy="297349"/>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40321" cy="326862"/>
                        </a:xfrm>
                        <a:prstGeom prst="rect">
                          <a:avLst/>
                        </a:prstGeom>
                      </pic:spPr>
                    </pic:pic>
                  </a:graphicData>
                </a:graphic>
              </wp:inline>
            </w:drawing>
          </w:r>
        </w:p>
      </w:tc>
    </w:tr>
  </w:tbl>
  <w:p w14:paraId="1732328C" w14:textId="77777777" w:rsidR="00874C73" w:rsidRDefault="00874C73">
    <w:pPr>
      <w:pStyle w:val="Footer"/>
    </w:pPr>
  </w:p>
  <w:p w14:paraId="7BC9DFE6" w14:textId="77777777" w:rsidR="00874C73" w:rsidRDefault="00874C73">
    <w:pPr>
      <w:pStyle w:val="Footer"/>
      <w:rPr>
        <w:noProof/>
      </w:rPr>
    </w:pPr>
    <w:r w:rsidRPr="00874C73">
      <w:rPr>
        <w:color w:val="auto"/>
      </w:rPr>
      <w:t>Page</w:t>
    </w:r>
    <w:r w:rsidRPr="00874C73">
      <w:rPr>
        <w:b/>
      </w:rPr>
      <w:t xml:space="preserve"> </w:t>
    </w:r>
    <w:r w:rsidRPr="002F3163">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4B2FFE">
      <w:rPr>
        <w:noProof/>
        <w:color w:val="auto"/>
      </w:rPr>
      <w:t>1</w:t>
    </w:r>
    <w:r w:rsidRPr="00874C73">
      <w:rPr>
        <w:noProof/>
        <w:color w:val="auto"/>
      </w:rPr>
      <w:fldChar w:fldCharType="end"/>
    </w:r>
  </w:p>
  <w:p w14:paraId="0A9F7FDB" w14:textId="77777777" w:rsidR="00FE3F15" w:rsidRPr="00874C73" w:rsidRDefault="00FE3F15"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95FD8" w14:textId="77777777" w:rsidR="00AA6868" w:rsidRDefault="00AA6868" w:rsidP="00626EDA">
      <w:r>
        <w:separator/>
      </w:r>
    </w:p>
  </w:footnote>
  <w:footnote w:type="continuationSeparator" w:id="0">
    <w:p w14:paraId="53771C5C" w14:textId="77777777" w:rsidR="00AA6868" w:rsidRDefault="00AA6868"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6BF6" w14:textId="77777777" w:rsidR="00FE3F15" w:rsidRDefault="00D9239A">
    <w:r>
      <w:rPr>
        <w:noProof/>
      </w:rPr>
      <w:drawing>
        <wp:anchor distT="0" distB="0" distL="114300" distR="114300" simplePos="0" relativeHeight="251657216" behindDoc="1" locked="0" layoutInCell="1" allowOverlap="1" wp14:anchorId="37A3E912" wp14:editId="26311A61">
          <wp:simplePos x="0" y="0"/>
          <wp:positionH relativeFrom="margin">
            <wp:align>center</wp:align>
          </wp:positionH>
          <wp:positionV relativeFrom="margin">
            <wp:align>center</wp:align>
          </wp:positionV>
          <wp:extent cx="7558405" cy="10695940"/>
          <wp:effectExtent l="0" t="0" r="0" b="0"/>
          <wp:wrapNone/>
          <wp:docPr id="6" name="Picture 4"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3A1">
      <w:rPr>
        <w:noProof/>
      </w:rPr>
    </w:r>
    <w:r w:rsidR="00D953A1">
      <w:rPr>
        <w:noProof/>
      </w:rPr>
      <w:pict w14:anchorId="44CDA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15pt;height:842.2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3772" w14:textId="77777777" w:rsidR="00FE3F15" w:rsidRDefault="00FE3F15"/>
  <w:p w14:paraId="7979E4A1" w14:textId="77777777" w:rsidR="00FE3F15" w:rsidRDefault="00FE3F15"/>
  <w:p w14:paraId="5444FAFC"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F70E" w14:textId="77777777" w:rsidR="00FE3F15" w:rsidRDefault="00FE3F15"/>
  <w:p w14:paraId="5DE3B81D"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8" type="#_x0000_t75" style="width:208.3pt;height:332.15pt" o:bullet="t">
        <v:imagedata r:id="rId1" o:title="TK_LOGO_POINTER_RGB_BULLET"/>
      </v:shape>
    </w:pict>
  </w:numPicBullet>
  <w:numPicBullet w:numPicBulletId="1">
    <w:pict>
      <v:shape id="_x0000_i1279" type="#_x0000_t75" style="width:36.5pt;height:28.8pt" o:bullet="t">
        <v:imagedata r:id="rId2" o:title="Tick"/>
      </v:shape>
    </w:pict>
  </w:numPicBullet>
  <w:numPicBullet w:numPicBulletId="2">
    <w:pict>
      <v:shape id="_x0000_i1280" type="#_x0000_t75" style="width:28.8pt;height:28.8pt" o:bullet="t">
        <v:imagedata r:id="rId3" o:title="Cross"/>
      </v:shape>
    </w:pict>
  </w:numPicBullet>
  <w:numPicBullet w:numPicBulletId="3">
    <w:pict>
      <v:shape id="_x0000_i1281" type="#_x0000_t75" style="width:208.3pt;height:332.15pt" o:bullet="t">
        <v:imagedata r:id="rId4" o:title="art1EF6"/>
      </v:shape>
    </w:pict>
  </w:numPicBullet>
  <w:numPicBullet w:numPicBulletId="4">
    <w:pict>
      <v:shape id="_x0000_i1282" type="#_x0000_t75" style="width:208.3pt;height:332.15pt" o:bullet="t">
        <v:imagedata r:id="rId5" o:title="TK_LOGO_POINTER_RGB_bullet_blue"/>
      </v:shape>
    </w:pict>
  </w:numPicBullet>
  <w:numPicBullet w:numPicBulletId="5">
    <w:pict>
      <v:shape id="_x0000_i1283" type="#_x0000_t75" style="width:566.4pt;height:904.3pt" o:bullet="t">
        <v:imagedata r:id="rId6" o:title="Blue Pointer-01-01"/>
      </v:shape>
    </w:pict>
  </w:numPicBullet>
  <w:abstractNum w:abstractNumId="0" w15:restartNumberingAfterBreak="0">
    <w:nsid w:val="FFFFFF7C"/>
    <w:multiLevelType w:val="singleLevel"/>
    <w:tmpl w:val="8E98ED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0E23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5C8F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C2D5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3473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0EE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B604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0A0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F7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EA2E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4531B"/>
    <w:multiLevelType w:val="hybridMultilevel"/>
    <w:tmpl w:val="0FCC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2" w15:restartNumberingAfterBreak="0">
    <w:nsid w:val="056C3622"/>
    <w:multiLevelType w:val="hybridMultilevel"/>
    <w:tmpl w:val="2BD4E6F4"/>
    <w:lvl w:ilvl="0" w:tplc="EE5AB562">
      <w:start w:val="1"/>
      <w:numFmt w:val="bullet"/>
      <w:pStyle w:val="6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13334D"/>
    <w:multiLevelType w:val="hybridMultilevel"/>
    <w:tmpl w:val="3A7AC7B2"/>
    <w:lvl w:ilvl="0" w:tplc="AAB69EE4">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0EE053BB"/>
    <w:multiLevelType w:val="multilevel"/>
    <w:tmpl w:val="0E84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624C02"/>
    <w:multiLevelType w:val="hybridMultilevel"/>
    <w:tmpl w:val="74B022F0"/>
    <w:lvl w:ilvl="0" w:tplc="7BFE43B0">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0C379A"/>
    <w:multiLevelType w:val="hybridMultilevel"/>
    <w:tmpl w:val="78CA6FD2"/>
    <w:lvl w:ilvl="0" w:tplc="08090003">
      <w:start w:val="1"/>
      <w:numFmt w:val="bullet"/>
      <w:lvlText w:val="o"/>
      <w:lvlJc w:val="left"/>
      <w:pPr>
        <w:ind w:left="340" w:hanging="170"/>
      </w:pPr>
      <w:rPr>
        <w:rFonts w:ascii="Courier New" w:hAnsi="Courier New" w:cs="Courier New"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3B6ECE"/>
    <w:multiLevelType w:val="hybridMultilevel"/>
    <w:tmpl w:val="6AD874E8"/>
    <w:lvl w:ilvl="0" w:tplc="5106CC0A">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97581A"/>
    <w:multiLevelType w:val="hybridMultilevel"/>
    <w:tmpl w:val="1BBC800C"/>
    <w:lvl w:ilvl="0" w:tplc="7ECA7F4C">
      <w:start w:val="1"/>
      <w:numFmt w:val="bullet"/>
      <w:pStyle w:val="3Bulletedcopypink"/>
      <w:lvlText w:val=""/>
      <w:lvlPicBulletId w:val="3"/>
      <w:lvlJc w:val="left"/>
      <w:pPr>
        <w:ind w:left="53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940EE"/>
    <w:multiLevelType w:val="hybridMultilevel"/>
    <w:tmpl w:val="53403C10"/>
    <w:lvl w:ilvl="0" w:tplc="894A7EE4">
      <w:start w:val="1"/>
      <w:numFmt w:val="bullet"/>
      <w:lvlText w:val=""/>
      <w:lvlPicBulletId w:val="0"/>
      <w:lvlJc w:val="left"/>
      <w:pPr>
        <w:ind w:left="170" w:firstLine="1361"/>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399A0E21"/>
    <w:multiLevelType w:val="hybridMultilevel"/>
    <w:tmpl w:val="5B3C76CA"/>
    <w:lvl w:ilvl="0" w:tplc="49D009EE">
      <w:start w:val="1"/>
      <w:numFmt w:val="bullet"/>
      <w:lvlText w:val=""/>
      <w:lvlPicBulletId w:val="0"/>
      <w:lvlJc w:val="left"/>
      <w:pPr>
        <w:tabs>
          <w:tab w:val="num" w:pos="170"/>
        </w:tabs>
        <w:ind w:left="170" w:hanging="17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15:restartNumberingAfterBreak="0">
    <w:nsid w:val="475126E1"/>
    <w:multiLevelType w:val="hybridMultilevel"/>
    <w:tmpl w:val="9F24D656"/>
    <w:lvl w:ilvl="0" w:tplc="5470A2D0">
      <w:start w:val="1"/>
      <w:numFmt w:val="bullet"/>
      <w:lvlText w:val=""/>
      <w:lvlJc w:val="left"/>
      <w:pPr>
        <w:ind w:left="20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C7649"/>
    <w:multiLevelType w:val="hybridMultilevel"/>
    <w:tmpl w:val="9502D892"/>
    <w:lvl w:ilvl="0" w:tplc="2E585242">
      <w:start w:val="1"/>
      <w:numFmt w:val="bullet"/>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93CB6"/>
    <w:multiLevelType w:val="hybridMultilevel"/>
    <w:tmpl w:val="7BE6C800"/>
    <w:lvl w:ilvl="0" w:tplc="E1A87802">
      <w:start w:val="1"/>
      <w:numFmt w:val="bullet"/>
      <w:pStyle w:val="8DONT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254DA"/>
    <w:multiLevelType w:val="hybridMultilevel"/>
    <w:tmpl w:val="9558F892"/>
    <w:lvl w:ilvl="0" w:tplc="B440A328">
      <w:start w:val="1"/>
      <w:numFmt w:val="bullet"/>
      <w:pStyle w:val="4Bulletedcopyblue"/>
      <w:lvlText w:val=""/>
      <w:lvlPicBulletId w:val="4"/>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50602656"/>
    <w:multiLevelType w:val="hybridMultilevel"/>
    <w:tmpl w:val="01F2E7C6"/>
    <w:lvl w:ilvl="0" w:tplc="FB9670CC">
      <w:start w:val="1"/>
      <w:numFmt w:val="bullet"/>
      <w:lvlText w:val=""/>
      <w:lvlPicBulletId w:val="4"/>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50E35530"/>
    <w:multiLevelType w:val="hybridMultilevel"/>
    <w:tmpl w:val="BB70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327596"/>
    <w:multiLevelType w:val="hybridMultilevel"/>
    <w:tmpl w:val="B0BCBF28"/>
    <w:lvl w:ilvl="0" w:tplc="1366A60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F91419"/>
    <w:multiLevelType w:val="hybridMultilevel"/>
    <w:tmpl w:val="6A500928"/>
    <w:lvl w:ilvl="0" w:tplc="31EA54D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5108A"/>
    <w:multiLevelType w:val="hybridMultilevel"/>
    <w:tmpl w:val="629A167C"/>
    <w:lvl w:ilvl="0" w:tplc="2ECC8E84">
      <w:start w:val="1"/>
      <w:numFmt w:val="bullet"/>
      <w:lvlText w:val=""/>
      <w:lvlJc w:val="left"/>
      <w:pPr>
        <w:ind w:left="20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75D72"/>
    <w:multiLevelType w:val="hybridMultilevel"/>
    <w:tmpl w:val="1132EBF6"/>
    <w:lvl w:ilvl="0" w:tplc="CE38EF20">
      <w:start w:val="1"/>
      <w:numFmt w:val="bullet"/>
      <w:pStyle w:val="8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621E2"/>
    <w:multiLevelType w:val="hybridMultilevel"/>
    <w:tmpl w:val="2384090A"/>
    <w:lvl w:ilvl="0" w:tplc="17F8EB34">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534B6"/>
    <w:multiLevelType w:val="hybridMultilevel"/>
    <w:tmpl w:val="55AE6156"/>
    <w:lvl w:ilvl="0" w:tplc="AE02F45C">
      <w:start w:val="1"/>
      <w:numFmt w:val="bullet"/>
      <w:pStyle w:val="Subheadwithpointer"/>
      <w:lvlText w:val=""/>
      <w:lvlPicBulletId w:val="5"/>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F95988"/>
    <w:multiLevelType w:val="hybridMultilevel"/>
    <w:tmpl w:val="27182D34"/>
    <w:lvl w:ilvl="0" w:tplc="AC34CB06">
      <w:start w:val="1"/>
      <w:numFmt w:val="bullet"/>
      <w:pStyle w:val="3Bulletedcopyblue"/>
      <w:lvlText w:val=""/>
      <w:lvlPicBulletId w:val="4"/>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184520079">
    <w:abstractNumId w:val="24"/>
  </w:num>
  <w:num w:numId="2" w16cid:durableId="1565869029">
    <w:abstractNumId w:val="16"/>
  </w:num>
  <w:num w:numId="3" w16cid:durableId="1920560668">
    <w:abstractNumId w:val="9"/>
  </w:num>
  <w:num w:numId="4" w16cid:durableId="125511416">
    <w:abstractNumId w:val="7"/>
  </w:num>
  <w:num w:numId="5" w16cid:durableId="804200525">
    <w:abstractNumId w:val="6"/>
  </w:num>
  <w:num w:numId="6" w16cid:durableId="1575316227">
    <w:abstractNumId w:val="5"/>
  </w:num>
  <w:num w:numId="7" w16cid:durableId="749615796">
    <w:abstractNumId w:val="4"/>
  </w:num>
  <w:num w:numId="8" w16cid:durableId="940257360">
    <w:abstractNumId w:val="8"/>
  </w:num>
  <w:num w:numId="9" w16cid:durableId="1008865885">
    <w:abstractNumId w:val="3"/>
  </w:num>
  <w:num w:numId="10" w16cid:durableId="706832607">
    <w:abstractNumId w:val="2"/>
  </w:num>
  <w:num w:numId="11" w16cid:durableId="240215631">
    <w:abstractNumId w:val="1"/>
  </w:num>
  <w:num w:numId="12" w16cid:durableId="825049608">
    <w:abstractNumId w:val="0"/>
  </w:num>
  <w:num w:numId="13" w16cid:durableId="9530803">
    <w:abstractNumId w:val="14"/>
  </w:num>
  <w:num w:numId="14" w16cid:durableId="945771636">
    <w:abstractNumId w:val="29"/>
  </w:num>
  <w:num w:numId="15" w16cid:durableId="849024508">
    <w:abstractNumId w:val="12"/>
  </w:num>
  <w:num w:numId="16" w16cid:durableId="559050865">
    <w:abstractNumId w:val="25"/>
  </w:num>
  <w:num w:numId="17" w16cid:durableId="1819882870">
    <w:abstractNumId w:val="30"/>
  </w:num>
  <w:num w:numId="18" w16cid:durableId="703754884">
    <w:abstractNumId w:val="19"/>
  </w:num>
  <w:num w:numId="19" w16cid:durableId="1895307508">
    <w:abstractNumId w:val="21"/>
  </w:num>
  <w:num w:numId="20" w16cid:durableId="2002736841">
    <w:abstractNumId w:val="20"/>
  </w:num>
  <w:num w:numId="21" w16cid:durableId="336150736">
    <w:abstractNumId w:val="27"/>
  </w:num>
  <w:num w:numId="22" w16cid:durableId="967010444">
    <w:abstractNumId w:val="17"/>
  </w:num>
  <w:num w:numId="23" w16cid:durableId="48891020">
    <w:abstractNumId w:val="13"/>
  </w:num>
  <w:num w:numId="24" w16cid:durableId="737367728">
    <w:abstractNumId w:val="28"/>
  </w:num>
  <w:num w:numId="25" w16cid:durableId="1511947053">
    <w:abstractNumId w:val="33"/>
  </w:num>
  <w:num w:numId="26" w16cid:durableId="1353535389">
    <w:abstractNumId w:val="23"/>
  </w:num>
  <w:num w:numId="27" w16cid:durableId="255090126">
    <w:abstractNumId w:val="31"/>
  </w:num>
  <w:num w:numId="28" w16cid:durableId="43411408">
    <w:abstractNumId w:val="32"/>
  </w:num>
  <w:num w:numId="29" w16cid:durableId="1533961279">
    <w:abstractNumId w:val="22"/>
  </w:num>
  <w:num w:numId="30" w16cid:durableId="265118803">
    <w:abstractNumId w:val="20"/>
  </w:num>
  <w:num w:numId="31" w16cid:durableId="512498031">
    <w:abstractNumId w:val="27"/>
  </w:num>
  <w:num w:numId="32" w16cid:durableId="1571502629">
    <w:abstractNumId w:val="20"/>
  </w:num>
  <w:num w:numId="33" w16cid:durableId="1483233230">
    <w:abstractNumId w:val="27"/>
  </w:num>
  <w:num w:numId="34" w16cid:durableId="1230577162">
    <w:abstractNumId w:val="12"/>
  </w:num>
  <w:num w:numId="35" w16cid:durableId="469400557">
    <w:abstractNumId w:val="25"/>
  </w:num>
  <w:num w:numId="36" w16cid:durableId="203761439">
    <w:abstractNumId w:val="32"/>
  </w:num>
  <w:num w:numId="37" w16cid:durableId="420955326">
    <w:abstractNumId w:val="10"/>
  </w:num>
  <w:num w:numId="38" w16cid:durableId="1694307563">
    <w:abstractNumId w:val="15"/>
  </w:num>
  <w:num w:numId="39" w16cid:durableId="680549762">
    <w:abstractNumId w:val="35"/>
  </w:num>
  <w:num w:numId="40" w16cid:durableId="415906853">
    <w:abstractNumId w:val="26"/>
  </w:num>
  <w:num w:numId="41" w16cid:durableId="776368390">
    <w:abstractNumId w:val="18"/>
  </w:num>
  <w:num w:numId="42" w16cid:durableId="904797576">
    <w:abstractNumId w:val="11"/>
  </w:num>
  <w:num w:numId="43" w16cid:durableId="205045345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794"/>
    <w:rsid w:val="00015B1A"/>
    <w:rsid w:val="0002254B"/>
    <w:rsid w:val="0004337E"/>
    <w:rsid w:val="000506B1"/>
    <w:rsid w:val="00082050"/>
    <w:rsid w:val="000A569F"/>
    <w:rsid w:val="000B77E5"/>
    <w:rsid w:val="000F5932"/>
    <w:rsid w:val="001357C9"/>
    <w:rsid w:val="00172DAB"/>
    <w:rsid w:val="001864DE"/>
    <w:rsid w:val="00196CB9"/>
    <w:rsid w:val="001C3F60"/>
    <w:rsid w:val="001E3CA3"/>
    <w:rsid w:val="001F5FDB"/>
    <w:rsid w:val="00200633"/>
    <w:rsid w:val="00235450"/>
    <w:rsid w:val="002645C3"/>
    <w:rsid w:val="00275D5E"/>
    <w:rsid w:val="002C4C82"/>
    <w:rsid w:val="002C75E3"/>
    <w:rsid w:val="002F3163"/>
    <w:rsid w:val="00303816"/>
    <w:rsid w:val="00332595"/>
    <w:rsid w:val="003365A2"/>
    <w:rsid w:val="0036218E"/>
    <w:rsid w:val="003B63F1"/>
    <w:rsid w:val="003F2BD9"/>
    <w:rsid w:val="003F68D2"/>
    <w:rsid w:val="0046077F"/>
    <w:rsid w:val="0049204B"/>
    <w:rsid w:val="00492BB3"/>
    <w:rsid w:val="004944EE"/>
    <w:rsid w:val="004B2FFE"/>
    <w:rsid w:val="004B3C9A"/>
    <w:rsid w:val="004D15C0"/>
    <w:rsid w:val="00531C8C"/>
    <w:rsid w:val="00534BE2"/>
    <w:rsid w:val="00564CD3"/>
    <w:rsid w:val="00566B82"/>
    <w:rsid w:val="00573834"/>
    <w:rsid w:val="00584A10"/>
    <w:rsid w:val="00590890"/>
    <w:rsid w:val="00597ED1"/>
    <w:rsid w:val="005B4650"/>
    <w:rsid w:val="005E0DEF"/>
    <w:rsid w:val="00626EDA"/>
    <w:rsid w:val="00632603"/>
    <w:rsid w:val="006B4C6C"/>
    <w:rsid w:val="006E44A2"/>
    <w:rsid w:val="006F569D"/>
    <w:rsid w:val="006F7E8A"/>
    <w:rsid w:val="007070A1"/>
    <w:rsid w:val="00735B7D"/>
    <w:rsid w:val="00763CE7"/>
    <w:rsid w:val="0078066C"/>
    <w:rsid w:val="007C5AC9"/>
    <w:rsid w:val="007D268D"/>
    <w:rsid w:val="007E217D"/>
    <w:rsid w:val="007E417F"/>
    <w:rsid w:val="0080784C"/>
    <w:rsid w:val="008116A6"/>
    <w:rsid w:val="008472C3"/>
    <w:rsid w:val="00874C73"/>
    <w:rsid w:val="008941E7"/>
    <w:rsid w:val="008C1253"/>
    <w:rsid w:val="008C3534"/>
    <w:rsid w:val="008F744A"/>
    <w:rsid w:val="0092503E"/>
    <w:rsid w:val="009A448F"/>
    <w:rsid w:val="009B3FAA"/>
    <w:rsid w:val="00A442A0"/>
    <w:rsid w:val="00AA6868"/>
    <w:rsid w:val="00B03CEA"/>
    <w:rsid w:val="00B11EA7"/>
    <w:rsid w:val="00B6679E"/>
    <w:rsid w:val="00B8287E"/>
    <w:rsid w:val="00B95F60"/>
    <w:rsid w:val="00C51C6A"/>
    <w:rsid w:val="00C8314B"/>
    <w:rsid w:val="00CC2794"/>
    <w:rsid w:val="00CC37EC"/>
    <w:rsid w:val="00CE654E"/>
    <w:rsid w:val="00D0043C"/>
    <w:rsid w:val="00D11C7E"/>
    <w:rsid w:val="00D455D0"/>
    <w:rsid w:val="00D508B4"/>
    <w:rsid w:val="00D81B90"/>
    <w:rsid w:val="00D86752"/>
    <w:rsid w:val="00D9239A"/>
    <w:rsid w:val="00D953A1"/>
    <w:rsid w:val="00D95FA0"/>
    <w:rsid w:val="00DA2950"/>
    <w:rsid w:val="00DA43DE"/>
    <w:rsid w:val="00DA5725"/>
    <w:rsid w:val="00DA7F11"/>
    <w:rsid w:val="00DC5FAC"/>
    <w:rsid w:val="00DF66B4"/>
    <w:rsid w:val="00E111EC"/>
    <w:rsid w:val="00E24FDF"/>
    <w:rsid w:val="00E3210F"/>
    <w:rsid w:val="00E647DF"/>
    <w:rsid w:val="00E9136B"/>
    <w:rsid w:val="00EA1CF0"/>
    <w:rsid w:val="00EF22F0"/>
    <w:rsid w:val="00F139E0"/>
    <w:rsid w:val="00F40EC2"/>
    <w:rsid w:val="00F82220"/>
    <w:rsid w:val="00F86514"/>
    <w:rsid w:val="00F97695"/>
    <w:rsid w:val="00FE3F15"/>
    <w:rsid w:val="00FF3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2F38A"/>
  <w15:chartTrackingRefBased/>
  <w15:docId w15:val="{DB11447A-A65A-5043-8CA1-B381796A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44A2"/>
    <w:rPr>
      <w:rFonts w:eastAsia="MS Mincho"/>
      <w:szCs w:val="24"/>
      <w:lang w:val="en-US" w:eastAsia="en-US"/>
    </w:rPr>
  </w:style>
  <w:style w:type="paragraph" w:styleId="Heading1">
    <w:name w:val="heading 1"/>
    <w:aliases w:val="The Key heading,The Key Heading"/>
    <w:basedOn w:val="Normal"/>
    <w:next w:val="5Abstract"/>
    <w:link w:val="Heading1Char"/>
    <w:uiPriority w:val="9"/>
    <w:rsid w:val="007C5AC9"/>
    <w:pPr>
      <w:spacing w:after="240"/>
      <w:outlineLvl w:val="0"/>
    </w:pPr>
    <w:rPr>
      <w:rFonts w:eastAsia="Calibri" w:cs="Arial"/>
      <w:b/>
      <w:color w:val="FF1F64"/>
      <w:sz w:val="60"/>
      <w:szCs w:val="36"/>
      <w:lang w:val="en-GB"/>
    </w:rPr>
  </w:style>
  <w:style w:type="paragraph" w:styleId="Heading3">
    <w:name w:val="heading 3"/>
    <w:basedOn w:val="Normal"/>
    <w:next w:val="Normal"/>
    <w:link w:val="Heading3Char"/>
    <w:uiPriority w:val="9"/>
    <w:rsid w:val="004B3C9A"/>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 Key heading Char,The Key Heading Char"/>
    <w:link w:val="Heading1"/>
    <w:uiPriority w:val="9"/>
    <w:rsid w:val="008941E7"/>
    <w:rPr>
      <w:rFonts w:eastAsia="Calibri" w:cs="Arial"/>
      <w:b/>
      <w:color w:val="FF1F64"/>
      <w:sz w:val="60"/>
      <w:szCs w:val="36"/>
      <w:lang w:eastAsia="en-US"/>
    </w:rPr>
  </w:style>
  <w:style w:type="character" w:customStyle="1" w:styleId="Heading3Char">
    <w:name w:val="Heading 3 Char"/>
    <w:link w:val="Heading3"/>
    <w:uiPriority w:val="9"/>
    <w:rsid w:val="004B3C9A"/>
    <w:rPr>
      <w:rFonts w:ascii="Calibri" w:eastAsia="MS Gothic" w:hAnsi="Calibri" w:cs="Times New Roman"/>
      <w:b/>
      <w:bCs/>
      <w:color w:val="4F81BD"/>
      <w:sz w:val="24"/>
      <w:szCs w:val="24"/>
      <w:lang w:val="en-US"/>
    </w:rPr>
  </w:style>
  <w:style w:type="paragraph" w:styleId="Footer">
    <w:name w:val="footer"/>
    <w:basedOn w:val="Normal"/>
    <w:link w:val="FooterChar"/>
    <w:uiPriority w:val="99"/>
    <w:unhideWhenUsed/>
    <w:rsid w:val="006F569D"/>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6F569D"/>
    <w:rPr>
      <w:rFonts w:ascii="Arial" w:eastAsia="Times New Roman" w:hAnsi="Arial" w:cs="Arial"/>
      <w:color w:val="808080"/>
      <w:sz w:val="16"/>
      <w:szCs w:val="16"/>
      <w:bdr w:val="none" w:sz="0" w:space="0" w:color="auto" w:frame="1"/>
      <w:shd w:val="clear" w:color="auto" w:fill="FFFFFF"/>
      <w:lang w:val="en-US"/>
    </w:rPr>
  </w:style>
  <w:style w:type="character" w:styleId="Hyperlink">
    <w:name w:val="Hyperlink"/>
    <w:uiPriority w:val="99"/>
    <w:unhideWhenUsed/>
    <w:qFormat/>
    <w:rsid w:val="00235450"/>
    <w:rPr>
      <w:color w:val="0072CC"/>
      <w:u w:val="single"/>
    </w:rPr>
  </w:style>
  <w:style w:type="paragraph" w:customStyle="1" w:styleId="3Bulletedcopypink">
    <w:name w:val="3 Bulleted copy pink &gt;"/>
    <w:basedOn w:val="Normal"/>
    <w:qFormat/>
    <w:rsid w:val="000506B1"/>
    <w:pPr>
      <w:numPr>
        <w:numId w:val="32"/>
      </w:numPr>
      <w:spacing w:after="120"/>
      <w:ind w:right="284"/>
    </w:pPr>
    <w:rPr>
      <w:rFonts w:cs="Arial"/>
      <w:szCs w:val="20"/>
    </w:rPr>
  </w:style>
  <w:style w:type="paragraph" w:customStyle="1" w:styleId="2Subheadpink">
    <w:name w:val="2 Subhead pink"/>
    <w:next w:val="Normal"/>
    <w:qFormat/>
    <w:rsid w:val="00235450"/>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qFormat/>
    <w:rsid w:val="00235450"/>
    <w:pPr>
      <w:spacing w:after="160" w:line="259" w:lineRule="auto"/>
      <w:jc w:val="center"/>
    </w:pPr>
    <w:rPr>
      <w:rFonts w:eastAsia="MS Mincho"/>
      <w:caps/>
      <w:color w:val="FFFFFF"/>
      <w:sz w:val="18"/>
      <w:szCs w:val="18"/>
      <w:lang w:val="en-US" w:eastAsia="en-US"/>
    </w:rPr>
  </w:style>
  <w:style w:type="paragraph" w:customStyle="1" w:styleId="4Heading1">
    <w:name w:val="4 Heading 1"/>
    <w:basedOn w:val="Heading1"/>
    <w:next w:val="5Abstract"/>
    <w:qFormat/>
    <w:rsid w:val="00303816"/>
    <w:pPr>
      <w:spacing w:after="480"/>
    </w:pPr>
  </w:style>
  <w:style w:type="paragraph" w:customStyle="1" w:styleId="TKheadingpink">
    <w:name w:val="TK heading pink"/>
    <w:next w:val="Normal"/>
    <w:qFormat/>
    <w:rsid w:val="001357C9"/>
    <w:pPr>
      <w:suppressAutoHyphens/>
      <w:spacing w:after="480"/>
    </w:pPr>
    <w:rPr>
      <w:rFonts w:eastAsia="MS Mincho"/>
      <w:b/>
      <w:color w:val="FF1F64"/>
      <w:sz w:val="60"/>
      <w:szCs w:val="24"/>
      <w:lang w:val="en-US" w:eastAsia="en-US"/>
    </w:rPr>
  </w:style>
  <w:style w:type="paragraph" w:customStyle="1" w:styleId="8DONTsbullet">
    <w:name w:val="8 DON'Ts bullet"/>
    <w:basedOn w:val="3Bulletedcopypink"/>
    <w:rsid w:val="00235450"/>
    <w:pPr>
      <w:numPr>
        <w:numId w:val="35"/>
      </w:numPr>
      <w:suppressAutoHyphens/>
    </w:pPr>
    <w:rPr>
      <w:b/>
      <w:sz w:val="24"/>
    </w:rPr>
  </w:style>
  <w:style w:type="paragraph" w:customStyle="1" w:styleId="6DOsbullet">
    <w:name w:val="6 DOs bullet"/>
    <w:basedOn w:val="3Bulletedcopypink"/>
    <w:rsid w:val="00235450"/>
    <w:pPr>
      <w:numPr>
        <w:numId w:val="34"/>
      </w:numPr>
    </w:pPr>
    <w:rPr>
      <w:b/>
      <w:sz w:val="24"/>
    </w:rPr>
  </w:style>
  <w:style w:type="paragraph" w:customStyle="1" w:styleId="3Bulletedcopyblue">
    <w:name w:val="3 Bulleted copy blue"/>
    <w:basedOn w:val="3Bulletedcopypink"/>
    <w:qFormat/>
    <w:rsid w:val="004D15C0"/>
    <w:pPr>
      <w:numPr>
        <w:numId w:val="39"/>
      </w:numPr>
    </w:pPr>
  </w:style>
  <w:style w:type="paragraph" w:customStyle="1" w:styleId="6Boxheading">
    <w:name w:val="6 Box heading"/>
    <w:basedOn w:val="Normal"/>
    <w:qFormat/>
    <w:rsid w:val="00235450"/>
    <w:pPr>
      <w:spacing w:after="120"/>
    </w:pPr>
    <w:rPr>
      <w:b/>
      <w:color w:val="12263F"/>
      <w:sz w:val="24"/>
    </w:rPr>
  </w:style>
  <w:style w:type="paragraph" w:customStyle="1" w:styleId="8Secondbullet">
    <w:name w:val="8 Second bullet"/>
    <w:basedOn w:val="Normal"/>
    <w:link w:val="8SecondbulletChar"/>
    <w:qFormat/>
    <w:rsid w:val="000506B1"/>
    <w:pPr>
      <w:numPr>
        <w:numId w:val="28"/>
      </w:numPr>
      <w:spacing w:after="120"/>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8SecondbulletChar">
    <w:name w:val="8 Second bullet Char"/>
    <w:link w:val="8Secondbullet"/>
    <w:rsid w:val="00235450"/>
    <w:rPr>
      <w:rFonts w:eastAsia="MS Mincho"/>
      <w:sz w:val="22"/>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0A569F"/>
    <w:rPr>
      <w:b/>
      <w:bCs/>
    </w:rPr>
  </w:style>
  <w:style w:type="paragraph" w:customStyle="1" w:styleId="5Abstract">
    <w:name w:val="5 Abstract"/>
    <w:qFormat/>
    <w:rsid w:val="00235450"/>
    <w:pPr>
      <w:spacing w:after="240" w:line="259" w:lineRule="auto"/>
    </w:pPr>
    <w:rPr>
      <w:rFonts w:eastAsia="MS Mincho"/>
      <w:sz w:val="28"/>
      <w:szCs w:val="28"/>
      <w:lang w:val="en-US" w:eastAsia="en-US"/>
    </w:rPr>
  </w:style>
  <w:style w:type="paragraph" w:customStyle="1" w:styleId="7TableHeading">
    <w:name w:val="7 Table Heading"/>
    <w:basedOn w:val="Normal"/>
    <w:link w:val="7TableHeadingChar"/>
    <w:qFormat/>
    <w:rsid w:val="00196CB9"/>
    <w:rPr>
      <w:rFonts w:cs="Arial"/>
      <w:color w:val="FFFFFF"/>
      <w:szCs w:val="20"/>
    </w:rPr>
  </w:style>
  <w:style w:type="character" w:customStyle="1" w:styleId="7TableHeadingChar">
    <w:name w:val="7 Table Heading Char"/>
    <w:link w:val="7TableHeading"/>
    <w:rsid w:val="00196CB9"/>
    <w:rPr>
      <w:rFonts w:eastAsia="MS Mincho" w:cs="Arial"/>
      <w:color w:val="FFFFFF"/>
      <w:lang w:val="en-US" w:eastAsia="en-US"/>
    </w:rPr>
  </w:style>
  <w:style w:type="paragraph" w:customStyle="1" w:styleId="9Bodycopyitalic">
    <w:name w:val="9 Body copy italic"/>
    <w:basedOn w:val="Normal"/>
    <w:qFormat/>
    <w:rsid w:val="00196CB9"/>
    <w:pPr>
      <w:spacing w:after="120"/>
      <w:ind w:right="284"/>
    </w:pPr>
    <w:rPr>
      <w:i/>
    </w:rPr>
  </w:style>
  <w:style w:type="table" w:styleId="TableGrid">
    <w:name w:val="Table Grid"/>
    <w:basedOn w:val="TableNormal"/>
    <w:uiPriority w:val="39"/>
    <w:rsid w:val="006E4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blue"/>
    <w:basedOn w:val="TableNormal"/>
    <w:uiPriority w:val="99"/>
    <w:rsid w:val="00303816"/>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trPr>
      <w:cantSplit/>
    </w:trPr>
    <w:tcPr>
      <w:tcMar>
        <w:top w:w="113" w:type="dxa"/>
        <w:bottom w:w="113" w:type="dxa"/>
      </w:tcMar>
    </w:tcPr>
    <w:tblStylePr w:type="firstRow">
      <w:rPr>
        <w:rFonts w:ascii="Arial" w:hAnsi="Arial"/>
        <w:b w:val="0"/>
        <w:i w:val="0"/>
        <w:caps/>
        <w:smallCaps w:val="0"/>
        <w:strike w:val="0"/>
        <w:dstrike w:val="0"/>
        <w:vanish w:val="0"/>
        <w:color w:val="F8F8F8"/>
        <w:sz w:val="20"/>
        <w:vertAlign w:val="baseline"/>
      </w:rPr>
      <w:tblPr/>
      <w:trPr>
        <w:cantSplit/>
        <w:tblHeader/>
      </w:trPr>
      <w:tcPr>
        <w:tcBorders>
          <w:top w:val="single" w:sz="4" w:space="0" w:color="12263F"/>
          <w:left w:val="single" w:sz="4" w:space="0" w:color="12263F"/>
          <w:bottom w:val="single" w:sz="4" w:space="0" w:color="12263F"/>
          <w:right w:val="single" w:sz="4" w:space="0" w:color="12263F"/>
          <w:insideH w:val="single" w:sz="4" w:space="0" w:color="F8F8F8"/>
          <w:insideV w:val="single" w:sz="4" w:space="0" w:color="F8F8F8"/>
          <w:tl2br w:val="nil"/>
          <w:tr2bl w:val="nil"/>
        </w:tcBorders>
        <w:shd w:val="clear" w:color="auto" w:fill="12263F"/>
      </w:tcPr>
    </w:tblStylePr>
  </w:style>
  <w:style w:type="table" w:customStyle="1" w:styleId="Tablesecondoption">
    <w:name w:val="Table second option"/>
    <w:basedOn w:val="Tableblue"/>
    <w:uiPriority w:val="99"/>
    <w:rsid w:val="003B63F1"/>
    <w:tblPr/>
    <w:tblStylePr w:type="firstRow">
      <w:rPr>
        <w:rFonts w:ascii="Arial" w:hAnsi="Arial"/>
        <w:b w:val="0"/>
        <w:i w:val="0"/>
        <w:caps/>
        <w:smallCaps w:val="0"/>
        <w:strike w:val="0"/>
        <w:dstrike w:val="0"/>
        <w:vanish w:val="0"/>
        <w:color w:val="auto"/>
        <w:sz w:val="20"/>
        <w:vertAlign w:val="baseline"/>
      </w:rPr>
      <w:tblPr/>
      <w:trPr>
        <w:cantSplit/>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CE7F5"/>
      </w:tcPr>
    </w:tblStylePr>
  </w:style>
  <w:style w:type="paragraph" w:customStyle="1" w:styleId="7Tablebodycopy">
    <w:name w:val="7 Table body copy"/>
    <w:basedOn w:val="Normal"/>
    <w:qFormat/>
    <w:rsid w:val="000506B1"/>
    <w:pPr>
      <w:spacing w:after="60"/>
    </w:pPr>
  </w:style>
  <w:style w:type="paragraph" w:customStyle="1" w:styleId="7Tablecopybulleted">
    <w:name w:val="7 Table copy bulleted"/>
    <w:basedOn w:val="7Tablebodycopy"/>
    <w:qFormat/>
    <w:rsid w:val="004D15C0"/>
    <w:pPr>
      <w:numPr>
        <w:numId w:val="38"/>
      </w:numPr>
    </w:pPr>
  </w:style>
  <w:style w:type="paragraph" w:customStyle="1" w:styleId="1bodycopy">
    <w:name w:val="1 body copy"/>
    <w:basedOn w:val="Normal"/>
    <w:link w:val="1bodycopyChar"/>
    <w:qFormat/>
    <w:rsid w:val="000506B1"/>
    <w:pPr>
      <w:spacing w:after="120"/>
      <w:ind w:right="284"/>
    </w:pPr>
  </w:style>
  <w:style w:type="character" w:customStyle="1" w:styleId="1bodycopyChar">
    <w:name w:val="1 body copy Char"/>
    <w:link w:val="1bodycopy"/>
    <w:rsid w:val="000506B1"/>
    <w:rPr>
      <w:rFonts w:eastAsia="MS Mincho"/>
      <w:szCs w:val="24"/>
      <w:lang w:val="en-US" w:eastAsia="en-US"/>
    </w:rPr>
  </w:style>
  <w:style w:type="paragraph" w:customStyle="1" w:styleId="9Boxheading">
    <w:name w:val="9 Box heading"/>
    <w:basedOn w:val="Normal"/>
    <w:qFormat/>
    <w:rsid w:val="000506B1"/>
    <w:pPr>
      <w:spacing w:after="120"/>
    </w:pPr>
    <w:rPr>
      <w:b/>
      <w:color w:val="12263F"/>
      <w:sz w:val="24"/>
    </w:rPr>
  </w:style>
  <w:style w:type="paragraph" w:customStyle="1" w:styleId="4Bulletedcopyblue">
    <w:name w:val="4 Bulleted copy blue"/>
    <w:basedOn w:val="3Bulletedcopypink"/>
    <w:qFormat/>
    <w:rsid w:val="000506B1"/>
    <w:pPr>
      <w:numPr>
        <w:numId w:val="40"/>
      </w:numPr>
    </w:pPr>
    <w:rPr>
      <w:sz w:val="22"/>
    </w:rPr>
  </w:style>
  <w:style w:type="paragraph" w:customStyle="1" w:styleId="7TableHeading2">
    <w:name w:val="7 Table Heading 2"/>
    <w:qFormat/>
    <w:rsid w:val="00534BE2"/>
    <w:rPr>
      <w:rFonts w:eastAsia="MS Mincho" w:cs="Arial"/>
      <w:lang w:val="en-US" w:eastAsia="en-US"/>
    </w:rPr>
  </w:style>
  <w:style w:type="paragraph" w:customStyle="1" w:styleId="1bodycopy10pt">
    <w:name w:val="1 body copy 10pt"/>
    <w:basedOn w:val="Normal"/>
    <w:link w:val="1bodycopy10ptChar"/>
    <w:qFormat/>
    <w:rsid w:val="003F68D2"/>
    <w:pPr>
      <w:spacing w:after="120"/>
    </w:pPr>
  </w:style>
  <w:style w:type="character" w:customStyle="1" w:styleId="1bodycopy10ptChar">
    <w:name w:val="1 body copy 10pt Char"/>
    <w:link w:val="1bodycopy10pt"/>
    <w:rsid w:val="003F68D2"/>
    <w:rPr>
      <w:rFonts w:eastAsia="MS Mincho"/>
      <w:szCs w:val="24"/>
      <w:lang w:val="en-US" w:eastAsia="en-US"/>
    </w:rPr>
  </w:style>
  <w:style w:type="paragraph" w:customStyle="1" w:styleId="6Abstract">
    <w:name w:val="6 Abstract"/>
    <w:qFormat/>
    <w:rsid w:val="003F68D2"/>
    <w:pPr>
      <w:spacing w:after="240" w:line="259" w:lineRule="auto"/>
    </w:pPr>
    <w:rPr>
      <w:rFonts w:eastAsia="MS Mincho"/>
      <w:sz w:val="28"/>
      <w:szCs w:val="28"/>
      <w:lang w:val="en-US" w:eastAsia="en-US"/>
    </w:rPr>
  </w:style>
  <w:style w:type="paragraph" w:customStyle="1" w:styleId="Subheadwithpointer">
    <w:name w:val="Subhead with pointer"/>
    <w:basedOn w:val="Normal"/>
    <w:next w:val="6Abstract"/>
    <w:link w:val="SubheadwithpointerChar"/>
    <w:rsid w:val="003F68D2"/>
    <w:pPr>
      <w:numPr>
        <w:numId w:val="43"/>
      </w:numPr>
      <w:spacing w:before="120" w:after="120"/>
      <w:ind w:right="850"/>
    </w:pPr>
    <w:rPr>
      <w:rFonts w:cs="Arial"/>
      <w:b/>
      <w:bCs/>
      <w:color w:val="12263F"/>
      <w:sz w:val="32"/>
      <w:szCs w:val="32"/>
    </w:rPr>
  </w:style>
  <w:style w:type="paragraph" w:customStyle="1" w:styleId="1bodycopy11pt">
    <w:name w:val="1 body copy 11pt"/>
    <w:autoRedefine/>
    <w:rsid w:val="003F68D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3F68D2"/>
    <w:rPr>
      <w:rFonts w:eastAsia="MS Mincho" w:cs="Arial"/>
      <w:b/>
      <w:bCs/>
      <w:color w:val="12263F"/>
      <w:sz w:val="32"/>
      <w:szCs w:val="32"/>
      <w:lang w:val="en-US" w:eastAsia="en-US"/>
    </w:rPr>
  </w:style>
  <w:style w:type="paragraph" w:styleId="TOC1">
    <w:name w:val="toc 1"/>
    <w:basedOn w:val="Normal"/>
    <w:next w:val="Normal"/>
    <w:autoRedefine/>
    <w:uiPriority w:val="39"/>
    <w:unhideWhenUsed/>
    <w:rsid w:val="003F68D2"/>
    <w:pPr>
      <w:spacing w:after="100"/>
    </w:pPr>
  </w:style>
  <w:style w:type="paragraph" w:customStyle="1" w:styleId="3Policytitle">
    <w:name w:val="3 Policy title"/>
    <w:basedOn w:val="Normal"/>
    <w:qFormat/>
    <w:rsid w:val="003F68D2"/>
    <w:pPr>
      <w:spacing w:after="120"/>
    </w:pPr>
    <w:rPr>
      <w:b/>
      <w:sz w:val="72"/>
    </w:rPr>
  </w:style>
  <w:style w:type="paragraph" w:customStyle="1" w:styleId="Bulletedcopylevel2">
    <w:name w:val="Bulleted copy level 2"/>
    <w:basedOn w:val="1bodycopy10pt"/>
    <w:qFormat/>
    <w:rsid w:val="003F68D2"/>
    <w:pPr>
      <w:numPr>
        <w:numId w:val="42"/>
      </w:numPr>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egislation.gov.uk/ukpga/1996/56/part/VI/chapter/III" TargetMode="External"/><Relationship Id="rId4" Type="http://schemas.openxmlformats.org/officeDocument/2006/relationships/settings" Target="settings.xml"/><Relationship Id="rId9" Type="http://schemas.openxmlformats.org/officeDocument/2006/relationships/hyperlink" Target="https://www.gov.uk/government/publications/charging-for-school-activiti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s://thekeysupport.com/terms-of-use" TargetMode="External"/><Relationship Id="rId1" Type="http://schemas.openxmlformats.org/officeDocument/2006/relationships/hyperlink" Target="https://schoolleaders.thekeysuppor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3853908F-81BD-4088-B931-598CEBC3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10304</CharactersWithSpaces>
  <SharedDoc>false</SharedDoc>
  <HLinks>
    <vt:vector size="18" baseType="variant">
      <vt:variant>
        <vt:i4>2162790</vt:i4>
      </vt:variant>
      <vt:variant>
        <vt:i4>9</vt:i4>
      </vt:variant>
      <vt:variant>
        <vt:i4>0</vt:i4>
      </vt:variant>
      <vt:variant>
        <vt:i4>5</vt:i4>
      </vt:variant>
      <vt:variant>
        <vt:lpwstr>https://thekeysupport.com/terms-of-use</vt:lpwstr>
      </vt:variant>
      <vt:variant>
        <vt:lpwstr/>
      </vt:variant>
      <vt:variant>
        <vt:i4>5767260</vt:i4>
      </vt:variant>
      <vt:variant>
        <vt:i4>6</vt:i4>
      </vt:variant>
      <vt:variant>
        <vt:i4>0</vt:i4>
      </vt:variant>
      <vt:variant>
        <vt:i4>5</vt:i4>
      </vt:variant>
      <vt:variant>
        <vt:lpwstr>http://www.thekeysupport.com/gov</vt:lpwstr>
      </vt:variant>
      <vt:variant>
        <vt:lpwstr/>
      </vt:variant>
      <vt:variant>
        <vt:i4>2162790</vt:i4>
      </vt:variant>
      <vt:variant>
        <vt:i4>0</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sara shepherd</cp:lastModifiedBy>
  <cp:revision>3</cp:revision>
  <cp:lastPrinted>2018-10-02T14:43:00Z</cp:lastPrinted>
  <dcterms:created xsi:type="dcterms:W3CDTF">2025-10-05T16:11:00Z</dcterms:created>
  <dcterms:modified xsi:type="dcterms:W3CDTF">2025-10-05T16:11:00Z</dcterms:modified>
</cp:coreProperties>
</file>